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B9DE5" w14:textId="77777777" w:rsidR="00A5629E" w:rsidRDefault="00147B6A">
      <w:r>
        <w:rPr>
          <w:b/>
          <w:bCs/>
          <w:color w:val="892337"/>
          <w:sz w:val="36"/>
          <w:szCs w:val="36"/>
        </w:rPr>
        <w:t>Verfahrensdokumentation nach GoBD - Musterbeispiel für mittelgroße Unternehmen</w:t>
      </w:r>
    </w:p>
    <w:p w14:paraId="6EC54A35" w14:textId="77777777" w:rsidR="00A5629E" w:rsidRDefault="00147B6A">
      <w:r>
        <w:rPr>
          <w:color w:val="7A7A7A"/>
        </w:rPr>
        <w:t>Stand: 11/2020</w:t>
      </w:r>
    </w:p>
    <w:p w14:paraId="21BCC260" w14:textId="77777777" w:rsidR="00A5629E" w:rsidRDefault="00147B6A">
      <w:r>
        <w:rPr>
          <w:color w:val="7A7A7A"/>
        </w:rPr>
        <w:t>Artikelnummer: 1809</w:t>
      </w:r>
    </w:p>
    <w:p w14:paraId="61799EBC" w14:textId="77777777" w:rsidR="00A5629E" w:rsidRDefault="00147B6A">
      <w:r>
        <w:rPr>
          <w:b/>
          <w:bCs/>
          <w:color w:val="892337"/>
        </w:rPr>
        <w:t>Inhaltsverzeichnis</w:t>
      </w:r>
    </w:p>
    <w:p w14:paraId="11CB858A" w14:textId="77777777" w:rsidR="00A5629E" w:rsidRDefault="00147B6A">
      <w:r>
        <w:rPr>
          <w:b/>
          <w:bCs/>
          <w:color w:val="892337"/>
        </w:rPr>
        <w:t xml:space="preserve"> 1. Vorbemerkung </w:t>
      </w:r>
    </w:p>
    <w:p w14:paraId="47CEC08C" w14:textId="77777777" w:rsidR="00A5629E" w:rsidRDefault="00147B6A">
      <w:r>
        <w:rPr>
          <w:b/>
          <w:bCs/>
          <w:color w:val="892337"/>
        </w:rPr>
        <w:t xml:space="preserve"> 2. Zielgruppe und Anforderungen </w:t>
      </w:r>
    </w:p>
    <w:p w14:paraId="61BD844A" w14:textId="77777777" w:rsidR="00A5629E" w:rsidRDefault="00147B6A">
      <w:r>
        <w:rPr>
          <w:b/>
          <w:bCs/>
          <w:color w:val="892337"/>
        </w:rPr>
        <w:t xml:space="preserve"> 3. Übersicht und versionierung </w:t>
      </w:r>
    </w:p>
    <w:p w14:paraId="3E88E506" w14:textId="77777777" w:rsidR="00A5629E" w:rsidRDefault="00147B6A">
      <w:r>
        <w:rPr>
          <w:b/>
          <w:bCs/>
          <w:color w:val="892337"/>
        </w:rPr>
        <w:t xml:space="preserve"> 4. Prozessdokumentation </w:t>
      </w:r>
    </w:p>
    <w:p w14:paraId="24C6DE5D" w14:textId="77777777" w:rsidR="00A5629E" w:rsidRDefault="00147B6A">
      <w:r>
        <w:rPr>
          <w:b/>
          <w:bCs/>
          <w:color w:val="892337"/>
        </w:rPr>
        <w:t xml:space="preserve"> 5. Systeme und Systemdokumentation </w:t>
      </w:r>
    </w:p>
    <w:p w14:paraId="7C4D5EB0" w14:textId="77777777" w:rsidR="00A5629E" w:rsidRDefault="00147B6A">
      <w:r>
        <w:rPr>
          <w:b/>
          <w:bCs/>
          <w:color w:val="892337"/>
        </w:rPr>
        <w:t xml:space="preserve"> 6. Ergänzungen </w:t>
      </w:r>
    </w:p>
    <w:p w14:paraId="3F367C06" w14:textId="77777777" w:rsidR="00A5629E" w:rsidRDefault="00147B6A">
      <w:r>
        <w:rPr>
          <w:b/>
          <w:bCs/>
          <w:color w:val="892337"/>
        </w:rPr>
        <w:t xml:space="preserve"> 7. Zusammenfassung und Empfehlung </w:t>
      </w:r>
    </w:p>
    <w:p w14:paraId="2840D636" w14:textId="77777777" w:rsidR="00A5629E" w:rsidRDefault="00147B6A">
      <w:r>
        <w:t> </w:t>
      </w:r>
    </w:p>
    <w:p w14:paraId="5A669BE6" w14:textId="77777777" w:rsidR="00A5629E" w:rsidRDefault="00147B6A">
      <w:r>
        <w:rPr>
          <w:b/>
          <w:bCs/>
          <w:color w:val="892237"/>
        </w:rPr>
        <w:t xml:space="preserve"> 1. Vorbemerkung </w:t>
      </w:r>
    </w:p>
    <w:p w14:paraId="2D77AEEE" w14:textId="77777777" w:rsidR="00A5629E" w:rsidRDefault="00147B6A">
      <w:r>
        <w:rPr>
          <w:color w:val="3E3D40"/>
        </w:rPr>
        <w:t xml:space="preserve">Die nachfolgenden Hinweise und Musterbeispiele für eine Verfahrensdokumentation (VFD) für mittelgroße Unternehmen bauen </w:t>
      </w:r>
      <w:r>
        <w:rPr>
          <w:color w:val="3E3D40"/>
        </w:rPr>
        <w:t>auf dem DWS-Merkblatt Nr. 1781 „Verfahrensdokumentation nach GoBD für kleine und mittlere Unternehmen — Hinweise für die Umsetzung in der Praxis“ auf. Die Kenntnis der dort skizzierten Grundlagen bzw. der einschlägigen Abschnitte der GoBD</w:t>
      </w:r>
      <w:r>
        <w:rPr>
          <w:color w:val="892337"/>
          <w:u w:val="single"/>
        </w:rPr>
        <w:t>1</w:t>
      </w:r>
      <w:r>
        <w:rPr>
          <w:color w:val="3E3D40"/>
        </w:rPr>
        <w:t xml:space="preserve"> selbst wird nach</w:t>
      </w:r>
      <w:r>
        <w:rPr>
          <w:color w:val="3E3D40"/>
        </w:rPr>
        <w:t xml:space="preserve">folgend vorausgesetzt. </w:t>
      </w:r>
    </w:p>
    <w:p w14:paraId="637EBB46" w14:textId="77777777" w:rsidR="00A5629E" w:rsidRDefault="00147B6A">
      <w:r>
        <w:rPr>
          <w:b/>
          <w:bCs/>
          <w:color w:val="892237"/>
        </w:rPr>
        <w:t xml:space="preserve"> 2. Zielgruppe und Anforderungen </w:t>
      </w:r>
    </w:p>
    <w:p w14:paraId="0FE34BF7" w14:textId="77777777" w:rsidR="00A5629E" w:rsidRDefault="00147B6A">
      <w:r>
        <w:rPr>
          <w:b/>
          <w:bCs/>
          <w:color w:val="892237"/>
        </w:rPr>
        <w:t>2.1 Zielgruppe</w:t>
      </w:r>
    </w:p>
    <w:p w14:paraId="1DE60CE9" w14:textId="77777777" w:rsidR="00A5629E" w:rsidRDefault="00147B6A">
      <w:r>
        <w:rPr>
          <w:color w:val="3E3D40"/>
        </w:rPr>
        <w:t>Betroffen sind nahezu alle mittelgroßen deutschen Unternehmen</w:t>
      </w:r>
      <w:r>
        <w:rPr>
          <w:color w:val="892337"/>
          <w:u w:val="single"/>
        </w:rPr>
        <w:t>2</w:t>
      </w:r>
      <w:r>
        <w:rPr>
          <w:color w:val="3E3D40"/>
        </w:rPr>
        <w:t xml:space="preserve"> und ggf. Betriebsstätten. Diese verwenden regelmäßig komplexe IT-Systeme, die oft über Jahre gewachsen, aber selten umfä</w:t>
      </w:r>
      <w:r>
        <w:rPr>
          <w:color w:val="3E3D40"/>
        </w:rPr>
        <w:t>nglich dokumentiert sind. Die weiter zunehmende Digitalisierung von Geschäftsprozessen wird die Komplexität der Prozesse und der Systeme noch weiter erhöhen, was zu erhöhten Dokumentationspflichten führt und eine angepasste Herangehensweise erfordert.</w:t>
      </w:r>
    </w:p>
    <w:p w14:paraId="1D8A19BE" w14:textId="77777777" w:rsidR="00A5629E" w:rsidRDefault="00147B6A">
      <w:r>
        <w:rPr>
          <w:b/>
          <w:bCs/>
          <w:color w:val="892237"/>
        </w:rPr>
        <w:t xml:space="preserve">2.2 </w:t>
      </w:r>
      <w:r>
        <w:rPr>
          <w:b/>
          <w:bCs/>
          <w:color w:val="892237"/>
        </w:rPr>
        <w:t>Betroffene Systeme</w:t>
      </w:r>
    </w:p>
    <w:p w14:paraId="560A525B" w14:textId="77777777" w:rsidR="00A5629E" w:rsidRDefault="00147B6A">
      <w:r>
        <w:rPr>
          <w:color w:val="3E3D40"/>
        </w:rPr>
        <w:t>Kernfelder der nach GoBD geforderten Verfahrensdokumentation sind immer noch Finanzbuchhaltung, Anlagenbuchhaltung und Lohnbuchhaltung. Explizit relevant sind aber auch vor- und nachgelagerte Systeme, insbesondere wenn zu diesen eine sys</w:t>
      </w:r>
      <w:r>
        <w:rPr>
          <w:color w:val="3E3D40"/>
        </w:rPr>
        <w:t>temseitige Verbindung (Schnittstelle) besteht. Betroffen sind damit ERP-Systeme, Warenwirtschaft, Kassensysteme oder E-Commerce-Lösungen, wenn dort besteuerungsrelevante Informationen erzeugt oder verarbeitet werden. Dies gilt sogar, wenn zwischen den Syst</w:t>
      </w:r>
      <w:r>
        <w:rPr>
          <w:color w:val="3E3D40"/>
        </w:rPr>
        <w:t>emen nur manuelle Verbindungen durch redundante Eingaben bestehen.</w:t>
      </w:r>
    </w:p>
    <w:p w14:paraId="65066012" w14:textId="77777777" w:rsidR="00A5629E" w:rsidRDefault="00147B6A">
      <w:r>
        <w:rPr>
          <w:b/>
          <w:bCs/>
          <w:color w:val="892237"/>
        </w:rPr>
        <w:t>2.3 Gruppierung der Musterbeispiele</w:t>
      </w:r>
    </w:p>
    <w:p w14:paraId="40A08BC6" w14:textId="77777777" w:rsidR="00A5629E" w:rsidRDefault="00147B6A">
      <w:r>
        <w:rPr>
          <w:color w:val="3E3D40"/>
        </w:rPr>
        <w:t>Für die Unterscheidung von VFD-Mustern wurde eine Gruppierung nach typischen EDV-Systemlandschaften herangezogen, nicht die Größenordnungen des § 267 HGB</w:t>
      </w:r>
      <w:r>
        <w:rPr>
          <w:color w:val="3E3D40"/>
        </w:rPr>
        <w:t>. Wesentliche Kriterien sind dabei die Menge der eingesetzten EDV-Teilsysteme sowie der Outsourcing-Grad von (Teil-)Prozessen (typischerweise Auftragsbearbeitung, Buchführung, Steuerberatung und E-Commerce, also die Komplexität von Prozessen und Systemen).</w:t>
      </w:r>
      <w:r>
        <w:rPr>
          <w:color w:val="3E3D40"/>
        </w:rPr>
        <w:t xml:space="preserve"> </w:t>
      </w:r>
    </w:p>
    <w:p w14:paraId="6A1F00B8" w14:textId="77777777" w:rsidR="00A5629E" w:rsidRDefault="00147B6A">
      <w:r>
        <w:rPr>
          <w:color w:val="3E3D40"/>
        </w:rPr>
        <w:t xml:space="preserve">Typische Systembestandteile mittelgroßer Unternehmen sind: </w:t>
      </w:r>
    </w:p>
    <w:p w14:paraId="426B9239" w14:textId="77777777" w:rsidR="00A5629E" w:rsidRDefault="00147B6A">
      <w:r>
        <w:rPr>
          <w:color w:val="892337"/>
        </w:rPr>
        <w:t>•</w:t>
      </w:r>
      <w:r>
        <w:rPr>
          <w:color w:val="3E3D40"/>
        </w:rPr>
        <w:t>zentrale Personalabrechnung mit Schnittstelle zum Rechnungswesen,</w:t>
      </w:r>
    </w:p>
    <w:p w14:paraId="33D56674" w14:textId="77777777" w:rsidR="00A5629E" w:rsidRDefault="00147B6A">
      <w:r>
        <w:rPr>
          <w:color w:val="892337"/>
        </w:rPr>
        <w:t>•</w:t>
      </w:r>
      <w:r>
        <w:rPr>
          <w:color w:val="3E3D40"/>
        </w:rPr>
        <w:t xml:space="preserve">selbst geführtes internes und externes Rechnungswesen (ggf. ERP-integriert) einschließlich Anlagenbuchhaltung, </w:t>
      </w:r>
    </w:p>
    <w:p w14:paraId="1CC85080" w14:textId="77777777" w:rsidR="00A5629E" w:rsidRDefault="00147B6A">
      <w:r>
        <w:rPr>
          <w:color w:val="892337"/>
        </w:rPr>
        <w:t>•</w:t>
      </w:r>
      <w:r>
        <w:rPr>
          <w:color w:val="3E3D40"/>
        </w:rPr>
        <w:t>mindestens ei</w:t>
      </w:r>
      <w:r>
        <w:rPr>
          <w:color w:val="3E3D40"/>
        </w:rPr>
        <w:t>n Vorsystem mit Funktionen zu Beschaffung, Bestandsführung, Produktion und/oder Vertrieb,</w:t>
      </w:r>
    </w:p>
    <w:p w14:paraId="4BC5089B" w14:textId="77777777" w:rsidR="00A5629E" w:rsidRDefault="00147B6A">
      <w:r>
        <w:rPr>
          <w:color w:val="892337"/>
        </w:rPr>
        <w:t>•</w:t>
      </w:r>
      <w:r>
        <w:rPr>
          <w:color w:val="3E3D40"/>
        </w:rPr>
        <w:t xml:space="preserve">selbst betriebene E-Mail- und ggf. E-Commerce-Anwendungen. </w:t>
      </w:r>
    </w:p>
    <w:p w14:paraId="60E7EE6F" w14:textId="77777777" w:rsidR="00A5629E" w:rsidRDefault="00147B6A">
      <w:r>
        <w:rPr>
          <w:color w:val="3E3D40"/>
        </w:rPr>
        <w:t>Ein alternatives Muster für Kleinunternehmen steht Ihnen als DWS-Merkblatt Nr. 1807 „Verfahrensdokumentat</w:t>
      </w:r>
      <w:r>
        <w:rPr>
          <w:color w:val="3E3D40"/>
        </w:rPr>
        <w:t>ion nach GoBD — Musterbeispiel für Kleinunternehmen“ zur Verfügung.</w:t>
      </w:r>
    </w:p>
    <w:p w14:paraId="3CB30725" w14:textId="77777777" w:rsidR="00A5629E" w:rsidRDefault="00147B6A">
      <w:r>
        <w:rPr>
          <w:b/>
          <w:bCs/>
          <w:color w:val="892237"/>
        </w:rPr>
        <w:t>2.4 Anforderungen an eine Verfahrensdokumentation</w:t>
      </w:r>
    </w:p>
    <w:p w14:paraId="3B25E2B8" w14:textId="77777777" w:rsidR="00A5629E" w:rsidRDefault="00147B6A">
      <w:r>
        <w:rPr>
          <w:color w:val="3E3D40"/>
        </w:rPr>
        <w:t>Als Generalnorm und grundsätzliches Ziel einer Verfahrensdokumentation gilt, dem Sachverständigen Dritten innerhalb angemessener Zeit eine</w:t>
      </w:r>
      <w:r>
        <w:rPr>
          <w:color w:val="3E3D40"/>
        </w:rPr>
        <w:t>n Überblick über die Geschäftsvorfälle und über die Lage des Unternehmens zu vermitteln.</w:t>
      </w:r>
      <w:r>
        <w:rPr>
          <w:color w:val="892337"/>
          <w:u w:val="single"/>
        </w:rPr>
        <w:t>3</w:t>
      </w:r>
      <w:r>
        <w:rPr>
          <w:color w:val="3E3D40"/>
        </w:rPr>
        <w:t xml:space="preserve"> Mit der integrierten IKS-Dokumentation (Abb. 3) bildet die VFD auch eine Basis für ein angemessenes mittelständisches Tax-Compliance-Management.</w:t>
      </w:r>
    </w:p>
    <w:p w14:paraId="3777833D" w14:textId="77777777" w:rsidR="00A5629E" w:rsidRDefault="00147B6A">
      <w:r>
        <w:rPr>
          <w:color w:val="3E3D40"/>
        </w:rPr>
        <w:t>Der Nutzen besteht aber insbesondere darin, die eigenen Prozesse und Systeme vollständig und richtig zu erfassen und kritisch zu hinterfragen, um eine tatsächliche Sicherheit darüber zu erlangen. Mittels relativ weniger Ergänzungen können darüber hinaus di</w:t>
      </w:r>
      <w:r>
        <w:rPr>
          <w:color w:val="3E3D40"/>
        </w:rPr>
        <w:t>e wesentlichen Anforderungen aus der EU-Datenschutzgrundverordnung (DSGVO) erfüllt werden. Das DWS-Merkblatt Nr. 1811 „Datenschutz im Unternehmen“ informiert kleine und mittlere Unternehmen darüber, wie sie ihre Organisation und Prozesse entsprechend anpas</w:t>
      </w:r>
      <w:r>
        <w:rPr>
          <w:color w:val="3E3D40"/>
        </w:rPr>
        <w:t>sen können.</w:t>
      </w:r>
    </w:p>
    <w:p w14:paraId="7EF27F31" w14:textId="77777777" w:rsidR="00A5629E" w:rsidRDefault="00147B6A">
      <w:r>
        <w:rPr>
          <w:b/>
          <w:bCs/>
          <w:color w:val="892237"/>
        </w:rPr>
        <w:t xml:space="preserve"> 3. Übersicht und versionierung </w:t>
      </w:r>
    </w:p>
    <w:p w14:paraId="3806784E" w14:textId="77777777" w:rsidR="00A5629E" w:rsidRDefault="00147B6A">
      <w:r>
        <w:rPr>
          <w:color w:val="3E3D40"/>
        </w:rPr>
        <w:t>Wegen der Variabilität der bei mittelgroßen Unternehmen auftretenden Verhältnisse gibt es keine allgemeingültige Vorlage für eine Verfahrensdokumentation solcher Betriebe. Man könnte ganze Bücher zur Verfahrensd</w:t>
      </w:r>
      <w:r>
        <w:rPr>
          <w:color w:val="3E3D40"/>
        </w:rPr>
        <w:t xml:space="preserve">okumentation im Mittelstand verfassen und es wären dennoch nicht alle Anforderungen abgedeckt. Nachfolgend werden daher anhand eines praxiserprobten Beispiels die Teilbereiche einer Verfahrensdokumentation in Auszügen dargestellt, die als Vorlagen für die </w:t>
      </w:r>
      <w:r>
        <w:rPr>
          <w:color w:val="3E3D40"/>
        </w:rPr>
        <w:t>eigene VFD mittelständischer Unternehmen verwendet werden können.</w:t>
      </w:r>
    </w:p>
    <w:p w14:paraId="6B422BC3" w14:textId="77777777" w:rsidR="00A5629E" w:rsidRDefault="005B7A0B">
      <w:r>
        <w:pict w14:anchorId="2D6C9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60.5pt;mso-position-horizontal:left;mso-position-horizontal-relative:char;mso-position-vertical:top;mso-position-vertical-relative:line">
            <v:imagedata r:id="rId4" o:title=""/>
          </v:shape>
        </w:pict>
      </w:r>
    </w:p>
    <w:p w14:paraId="6495D977" w14:textId="77777777" w:rsidR="00A5629E" w:rsidRDefault="00147B6A">
      <w:r>
        <w:rPr>
          <w:color w:val="3E3D40"/>
        </w:rPr>
        <w:t>Abbildung 1</w:t>
      </w:r>
    </w:p>
    <w:p w14:paraId="63C48D5C" w14:textId="77777777" w:rsidR="00A5629E" w:rsidRDefault="00147B6A">
      <w:r>
        <w:rPr>
          <w:color w:val="3E3D40"/>
        </w:rPr>
        <w:t>Angelehnt an eine Dokumentation nach DIN ISO 9000 werden, auf einem Deckblatt Angaben zur Firma, eine Übersicht über den Inhalt sowie die Versionierung vorangestellt. Dies erleichtert die Orientierung für den Leser und zeigt die Aktualität der VFD.</w:t>
      </w:r>
    </w:p>
    <w:p w14:paraId="066FE82E" w14:textId="77777777" w:rsidR="00A5629E" w:rsidRDefault="00147B6A">
      <w:r>
        <w:rPr>
          <w:color w:val="3E3D40"/>
        </w:rPr>
        <w:t xml:space="preserve">In der </w:t>
      </w:r>
      <w:r>
        <w:rPr>
          <w:b/>
          <w:bCs/>
          <w:color w:val="3E3D40"/>
        </w:rPr>
        <w:t>Versionierung</w:t>
      </w:r>
      <w:r>
        <w:rPr>
          <w:color w:val="3E3D40"/>
        </w:rPr>
        <w:t xml:space="preserve"> werden ausschließlich wesentliche Veränderungen der Verfahrensdokumentation (grds. mit Freigabe-Unterschriften oder digitaler Authentifizierung) selbst dokumentiert (Abb. 2).</w:t>
      </w:r>
    </w:p>
    <w:tbl>
      <w:tblPr>
        <w:tblW w:w="0" w:type="auto"/>
        <w:tblInd w:w="10" w:type="dxa"/>
        <w:tblCellMar>
          <w:left w:w="10" w:type="dxa"/>
          <w:right w:w="10" w:type="dxa"/>
        </w:tblCellMar>
        <w:tblLook w:val="0000" w:firstRow="0" w:lastRow="0" w:firstColumn="0" w:lastColumn="0" w:noHBand="0" w:noVBand="0"/>
      </w:tblPr>
      <w:tblGrid>
        <w:gridCol w:w="9035"/>
      </w:tblGrid>
      <w:tr w:rsidR="00A5629E" w14:paraId="1EED422B" w14:textId="77777777">
        <w:tblPrEx>
          <w:tblCellMar>
            <w:top w:w="0" w:type="dxa"/>
            <w:bottom w:w="0" w:type="dxa"/>
          </w:tblCellMar>
        </w:tblPrEx>
        <w:tc>
          <w:tcPr>
            <w:tcW w:w="0" w:type="auto"/>
          </w:tcPr>
          <w:tbl>
            <w:tblPr>
              <w:tblW w:w="0" w:type="auto"/>
              <w:tblCellMar>
                <w:left w:w="10" w:type="dxa"/>
                <w:right w:w="10" w:type="dxa"/>
              </w:tblCellMar>
              <w:tblLook w:val="0000" w:firstRow="0" w:lastRow="0" w:firstColumn="0" w:lastColumn="0" w:noHBand="0" w:noVBand="0"/>
            </w:tblPr>
            <w:tblGrid>
              <w:gridCol w:w="700"/>
              <w:gridCol w:w="1021"/>
              <w:gridCol w:w="4202"/>
              <w:gridCol w:w="1123"/>
              <w:gridCol w:w="1093"/>
              <w:gridCol w:w="876"/>
            </w:tblGrid>
            <w:tr w:rsidR="00A5629E" w14:paraId="6155328B" w14:textId="77777777">
              <w:tblPrEx>
                <w:tblCellMar>
                  <w:top w:w="0" w:type="dxa"/>
                  <w:bottom w:w="0" w:type="dxa"/>
                </w:tblCellMar>
              </w:tblPrEx>
              <w:tc>
                <w:tcPr>
                  <w:tcW w:w="0" w:type="auto"/>
                </w:tcPr>
                <w:p w14:paraId="0E2AD374" w14:textId="77777777" w:rsidR="00A5629E" w:rsidRDefault="00147B6A">
                  <w:r>
                    <w:t>Version</w:t>
                  </w:r>
                </w:p>
              </w:tc>
              <w:tc>
                <w:tcPr>
                  <w:tcW w:w="0" w:type="auto"/>
                </w:tcPr>
                <w:p w14:paraId="1BFEB919" w14:textId="77777777" w:rsidR="00A5629E" w:rsidRDefault="00147B6A">
                  <w:r>
                    <w:t>Datum</w:t>
                  </w:r>
                </w:p>
              </w:tc>
              <w:tc>
                <w:tcPr>
                  <w:tcW w:w="0" w:type="auto"/>
                </w:tcPr>
                <w:p w14:paraId="160FB127" w14:textId="77777777" w:rsidR="00A5629E" w:rsidRDefault="00147B6A">
                  <w:r>
                    <w:t>Änderungen</w:t>
                  </w:r>
                </w:p>
              </w:tc>
              <w:tc>
                <w:tcPr>
                  <w:tcW w:w="0" w:type="auto"/>
                </w:tcPr>
                <w:p w14:paraId="730BDA11" w14:textId="77777777" w:rsidR="00A5629E" w:rsidRDefault="00147B6A">
                  <w:r>
                    <w:t>Erstellt/</w:t>
                  </w:r>
                  <w:r>
                    <w:br/>
                    <w:t xml:space="preserve">Geändert </w:t>
                  </w:r>
                  <w:r>
                    <w:br/>
                    <w:t>von</w:t>
                  </w:r>
                </w:p>
              </w:tc>
              <w:tc>
                <w:tcPr>
                  <w:tcW w:w="0" w:type="auto"/>
                </w:tcPr>
                <w:p w14:paraId="28B9A128" w14:textId="77777777" w:rsidR="00A5629E" w:rsidRDefault="00147B6A">
                  <w:r>
                    <w:t>Freigabe am</w:t>
                  </w:r>
                </w:p>
              </w:tc>
              <w:tc>
                <w:tcPr>
                  <w:tcW w:w="0" w:type="auto"/>
                </w:tcPr>
                <w:p w14:paraId="7468536B" w14:textId="77777777" w:rsidR="00A5629E" w:rsidRDefault="00147B6A">
                  <w:r>
                    <w:t>Freige</w:t>
                  </w:r>
                  <w:r>
                    <w:t>ber</w:t>
                  </w:r>
                </w:p>
              </w:tc>
            </w:tr>
            <w:tr w:rsidR="00A5629E" w14:paraId="6148466D" w14:textId="77777777">
              <w:tblPrEx>
                <w:tblCellMar>
                  <w:top w:w="0" w:type="dxa"/>
                  <w:bottom w:w="0" w:type="dxa"/>
                </w:tblCellMar>
              </w:tblPrEx>
              <w:tc>
                <w:tcPr>
                  <w:tcW w:w="0" w:type="auto"/>
                  <w:shd w:val="clear" w:color="auto" w:fill="auto"/>
                </w:tcPr>
                <w:p w14:paraId="1C80F64F" w14:textId="77777777" w:rsidR="00A5629E" w:rsidRDefault="00147B6A">
                  <w:r>
                    <w:t>1.0</w:t>
                  </w:r>
                </w:p>
              </w:tc>
              <w:tc>
                <w:tcPr>
                  <w:tcW w:w="0" w:type="auto"/>
                  <w:shd w:val="clear" w:color="auto" w:fill="auto"/>
                </w:tcPr>
                <w:p w14:paraId="1A75F930" w14:textId="77777777" w:rsidR="00A5629E" w:rsidRDefault="00147B6A">
                  <w:r>
                    <w:t>31.05.2014</w:t>
                  </w:r>
                </w:p>
              </w:tc>
              <w:tc>
                <w:tcPr>
                  <w:tcW w:w="0" w:type="auto"/>
                  <w:shd w:val="clear" w:color="auto" w:fill="auto"/>
                </w:tcPr>
                <w:p w14:paraId="3AE55AAA" w14:textId="77777777" w:rsidR="00A5629E" w:rsidRDefault="00147B6A">
                  <w:r>
                    <w:t>Initiale Version</w:t>
                  </w:r>
                </w:p>
              </w:tc>
              <w:tc>
                <w:tcPr>
                  <w:tcW w:w="0" w:type="auto"/>
                  <w:shd w:val="clear" w:color="auto" w:fill="auto"/>
                </w:tcPr>
                <w:p w14:paraId="0BD3F664" w14:textId="77777777" w:rsidR="00A5629E" w:rsidRDefault="00147B6A">
                  <w:r>
                    <w:t>R. Steller</w:t>
                  </w:r>
                </w:p>
              </w:tc>
              <w:tc>
                <w:tcPr>
                  <w:tcW w:w="0" w:type="auto"/>
                  <w:shd w:val="clear" w:color="auto" w:fill="auto"/>
                </w:tcPr>
                <w:p w14:paraId="5DA00A81" w14:textId="77777777" w:rsidR="00A5629E" w:rsidRDefault="00147B6A">
                  <w:r>
                    <w:t>04.06.2014</w:t>
                  </w:r>
                </w:p>
              </w:tc>
              <w:tc>
                <w:tcPr>
                  <w:tcW w:w="0" w:type="auto"/>
                  <w:shd w:val="clear" w:color="auto" w:fill="auto"/>
                </w:tcPr>
                <w:p w14:paraId="5FBFEF32" w14:textId="77777777" w:rsidR="00A5629E" w:rsidRDefault="00147B6A">
                  <w:r>
                    <w:t>K. Chef</w:t>
                  </w:r>
                </w:p>
              </w:tc>
            </w:tr>
            <w:tr w:rsidR="00A5629E" w14:paraId="140A3D59" w14:textId="77777777">
              <w:tblPrEx>
                <w:tblCellMar>
                  <w:top w:w="0" w:type="dxa"/>
                  <w:bottom w:w="0" w:type="dxa"/>
                </w:tblCellMar>
              </w:tblPrEx>
              <w:tc>
                <w:tcPr>
                  <w:tcW w:w="0" w:type="auto"/>
                </w:tcPr>
                <w:p w14:paraId="2CC2A7B4" w14:textId="77777777" w:rsidR="00A5629E" w:rsidRDefault="00147B6A">
                  <w:r>
                    <w:t>1.1</w:t>
                  </w:r>
                </w:p>
              </w:tc>
              <w:tc>
                <w:tcPr>
                  <w:tcW w:w="0" w:type="auto"/>
                </w:tcPr>
                <w:p w14:paraId="42A871A4" w14:textId="77777777" w:rsidR="00A5629E" w:rsidRDefault="00147B6A">
                  <w:r>
                    <w:t>12.03.2015</w:t>
                  </w:r>
                </w:p>
              </w:tc>
              <w:tc>
                <w:tcPr>
                  <w:tcW w:w="0" w:type="auto"/>
                </w:tcPr>
                <w:p w14:paraId="531C84D5" w14:textId="77777777" w:rsidR="00A5629E" w:rsidRDefault="00147B6A">
                  <w:r>
                    <w:t>Anpassungen GoBD — Auslagerungen und Vorsystem Zeiterfassung</w:t>
                  </w:r>
                </w:p>
              </w:tc>
              <w:tc>
                <w:tcPr>
                  <w:tcW w:w="0" w:type="auto"/>
                </w:tcPr>
                <w:p w14:paraId="0820BA92" w14:textId="77777777" w:rsidR="00A5629E" w:rsidRDefault="00147B6A">
                  <w:r>
                    <w:t>QM-K. Meister</w:t>
                  </w:r>
                </w:p>
              </w:tc>
              <w:tc>
                <w:tcPr>
                  <w:tcW w:w="0" w:type="auto"/>
                </w:tcPr>
                <w:p w14:paraId="6AA228AF" w14:textId="77777777" w:rsidR="00A5629E" w:rsidRDefault="00147B6A">
                  <w:r>
                    <w:t>31.03.2015</w:t>
                  </w:r>
                </w:p>
              </w:tc>
              <w:tc>
                <w:tcPr>
                  <w:tcW w:w="0" w:type="auto"/>
                </w:tcPr>
                <w:p w14:paraId="69FFC3DF" w14:textId="77777777" w:rsidR="00A5629E" w:rsidRDefault="00147B6A">
                  <w:r>
                    <w:t>K. Chef</w:t>
                  </w:r>
                </w:p>
              </w:tc>
            </w:tr>
          </w:tbl>
          <w:p w14:paraId="67E0320E" w14:textId="77777777" w:rsidR="00A5629E" w:rsidRDefault="00A5629E"/>
        </w:tc>
      </w:tr>
    </w:tbl>
    <w:p w14:paraId="0F10217F" w14:textId="77777777" w:rsidR="00A5629E" w:rsidRDefault="00147B6A">
      <w:r>
        <w:rPr>
          <w:color w:val="3E3D40"/>
        </w:rPr>
        <w:t>Abbildung 2</w:t>
      </w:r>
    </w:p>
    <w:p w14:paraId="78E1CF9D" w14:textId="77777777" w:rsidR="00A5629E" w:rsidRDefault="00147B6A">
      <w:r>
        <w:rPr>
          <w:color w:val="3E3D40"/>
        </w:rPr>
        <w:t>Von der VFD-Versionierung sind die Versionen der einzelnen internen Dokumente, die in der Verfahrensdokumentation referenziert werden, zu unterscheiden. Diese sind selbst wieder mit Angabe der Gültigkeitszeiträume zu versionieren, um dem Anspruch der zutre</w:t>
      </w:r>
      <w:r>
        <w:rPr>
          <w:color w:val="3E3D40"/>
        </w:rPr>
        <w:t>ffenden Darstellung zu jedem Zeitpunkt innerhalb des Anwendungszeitraumes gerecht zu werden. Es muss insgesamt anhand der Gültigkeitsangaben aller Dokumente möglich sein, für jeden Prüfungszeitraum (i. d. R. Geschäftsjahr) die hierfür gültigen Dokumentvers</w:t>
      </w:r>
      <w:r>
        <w:rPr>
          <w:color w:val="3E3D40"/>
        </w:rPr>
        <w:t>ionen zu identifizieren.</w:t>
      </w:r>
    </w:p>
    <w:tbl>
      <w:tblPr>
        <w:tblW w:w="0" w:type="auto"/>
        <w:tblInd w:w="10" w:type="dxa"/>
        <w:tblCellMar>
          <w:left w:w="10" w:type="dxa"/>
          <w:right w:w="10" w:type="dxa"/>
        </w:tblCellMar>
        <w:tblLook w:val="0000" w:firstRow="0" w:lastRow="0" w:firstColumn="0" w:lastColumn="0" w:noHBand="0" w:noVBand="0"/>
      </w:tblPr>
      <w:tblGrid>
        <w:gridCol w:w="4795"/>
      </w:tblGrid>
      <w:tr w:rsidR="00A5629E" w14:paraId="2A212B42" w14:textId="77777777">
        <w:tblPrEx>
          <w:tblCellMar>
            <w:top w:w="0" w:type="dxa"/>
            <w:bottom w:w="0" w:type="dxa"/>
          </w:tblCellMar>
        </w:tblPrEx>
        <w:tc>
          <w:tcPr>
            <w:tcW w:w="0" w:type="auto"/>
          </w:tcPr>
          <w:tbl>
            <w:tblPr>
              <w:tblW w:w="0" w:type="auto"/>
              <w:tblCellMar>
                <w:left w:w="10" w:type="dxa"/>
                <w:right w:w="10" w:type="dxa"/>
              </w:tblCellMar>
              <w:tblLook w:val="0000" w:firstRow="0" w:lastRow="0" w:firstColumn="0" w:lastColumn="0" w:noHBand="0" w:noVBand="0"/>
            </w:tblPr>
            <w:tblGrid>
              <w:gridCol w:w="132"/>
              <w:gridCol w:w="4156"/>
              <w:gridCol w:w="487"/>
            </w:tblGrid>
            <w:tr w:rsidR="00A5629E" w14:paraId="70EE65A6" w14:textId="77777777">
              <w:tblPrEx>
                <w:tblCellMar>
                  <w:top w:w="0" w:type="dxa"/>
                  <w:bottom w:w="0" w:type="dxa"/>
                </w:tblCellMar>
              </w:tblPrEx>
              <w:tc>
                <w:tcPr>
                  <w:tcW w:w="0" w:type="auto"/>
                  <w:gridSpan w:val="3"/>
                </w:tcPr>
                <w:p w14:paraId="09E6A902" w14:textId="77777777" w:rsidR="00A5629E" w:rsidRDefault="00147B6A">
                  <w:r>
                    <w:t>Inhalt:</w:t>
                  </w:r>
                </w:p>
              </w:tc>
            </w:tr>
            <w:tr w:rsidR="00A5629E" w14:paraId="05F1E65E" w14:textId="77777777">
              <w:tblPrEx>
                <w:tblCellMar>
                  <w:top w:w="0" w:type="dxa"/>
                  <w:bottom w:w="0" w:type="dxa"/>
                </w:tblCellMar>
              </w:tblPrEx>
              <w:tc>
                <w:tcPr>
                  <w:tcW w:w="0" w:type="auto"/>
                  <w:shd w:val="clear" w:color="auto" w:fill="auto"/>
                </w:tcPr>
                <w:p w14:paraId="04BE8CCA" w14:textId="77777777" w:rsidR="00A5629E" w:rsidRDefault="00147B6A">
                  <w:r>
                    <w:t>1</w:t>
                  </w:r>
                </w:p>
              </w:tc>
              <w:tc>
                <w:tcPr>
                  <w:tcW w:w="0" w:type="auto"/>
                  <w:shd w:val="clear" w:color="auto" w:fill="auto"/>
                </w:tcPr>
                <w:p w14:paraId="1D2BE20C" w14:textId="77777777" w:rsidR="00A5629E" w:rsidRDefault="00147B6A">
                  <w:r>
                    <w:t>Übersicht Verfahrensdokumentation</w:t>
                  </w:r>
                </w:p>
              </w:tc>
              <w:tc>
                <w:tcPr>
                  <w:tcW w:w="0" w:type="auto"/>
                  <w:shd w:val="clear" w:color="auto" w:fill="auto"/>
                </w:tcPr>
                <w:p w14:paraId="378BB6D5" w14:textId="77777777" w:rsidR="00A5629E" w:rsidRDefault="00147B6A">
                  <w:r>
                    <w:t>S. 1</w:t>
                  </w:r>
                </w:p>
              </w:tc>
            </w:tr>
            <w:tr w:rsidR="00A5629E" w14:paraId="269DACEB" w14:textId="77777777">
              <w:tblPrEx>
                <w:tblCellMar>
                  <w:top w:w="0" w:type="dxa"/>
                  <w:bottom w:w="0" w:type="dxa"/>
                </w:tblCellMar>
              </w:tblPrEx>
              <w:tc>
                <w:tcPr>
                  <w:tcW w:w="0" w:type="auto"/>
                </w:tcPr>
                <w:p w14:paraId="2C1F6796" w14:textId="77777777" w:rsidR="00A5629E" w:rsidRDefault="00147B6A">
                  <w:r>
                    <w:t>2</w:t>
                  </w:r>
                </w:p>
              </w:tc>
              <w:tc>
                <w:tcPr>
                  <w:tcW w:w="0" w:type="auto"/>
                </w:tcPr>
                <w:p w14:paraId="4BD5AB40" w14:textId="77777777" w:rsidR="00A5629E" w:rsidRDefault="00147B6A">
                  <w:r>
                    <w:t>Prozessdokumentation Workflows</w:t>
                  </w:r>
                </w:p>
              </w:tc>
              <w:tc>
                <w:tcPr>
                  <w:tcW w:w="0" w:type="auto"/>
                </w:tcPr>
                <w:p w14:paraId="5F179435" w14:textId="77777777" w:rsidR="00A5629E" w:rsidRDefault="00147B6A">
                  <w:r>
                    <w:t>S. 2</w:t>
                  </w:r>
                </w:p>
              </w:tc>
            </w:tr>
            <w:tr w:rsidR="00A5629E" w14:paraId="08979E28" w14:textId="77777777">
              <w:tblPrEx>
                <w:tblCellMar>
                  <w:top w:w="0" w:type="dxa"/>
                  <w:bottom w:w="0" w:type="dxa"/>
                </w:tblCellMar>
              </w:tblPrEx>
              <w:tc>
                <w:tcPr>
                  <w:tcW w:w="0" w:type="auto"/>
                  <w:shd w:val="clear" w:color="auto" w:fill="auto"/>
                </w:tcPr>
                <w:p w14:paraId="09FF69EC" w14:textId="77777777" w:rsidR="00A5629E" w:rsidRDefault="00147B6A">
                  <w:r>
                    <w:t>3</w:t>
                  </w:r>
                </w:p>
              </w:tc>
              <w:tc>
                <w:tcPr>
                  <w:tcW w:w="0" w:type="auto"/>
                  <w:shd w:val="clear" w:color="auto" w:fill="auto"/>
                </w:tcPr>
                <w:p w14:paraId="268F3F34" w14:textId="77777777" w:rsidR="00A5629E" w:rsidRDefault="00147B6A">
                  <w:r>
                    <w:t>Prozessdokumentation Details</w:t>
                  </w:r>
                </w:p>
              </w:tc>
              <w:tc>
                <w:tcPr>
                  <w:tcW w:w="0" w:type="auto"/>
                  <w:shd w:val="clear" w:color="auto" w:fill="auto"/>
                </w:tcPr>
                <w:p w14:paraId="607877C5" w14:textId="77777777" w:rsidR="00A5629E" w:rsidRDefault="00147B6A">
                  <w:r>
                    <w:t>S. 4</w:t>
                  </w:r>
                </w:p>
              </w:tc>
            </w:tr>
            <w:tr w:rsidR="00A5629E" w14:paraId="2FA3460E" w14:textId="77777777">
              <w:tblPrEx>
                <w:tblCellMar>
                  <w:top w:w="0" w:type="dxa"/>
                  <w:bottom w:w="0" w:type="dxa"/>
                </w:tblCellMar>
              </w:tblPrEx>
              <w:tc>
                <w:tcPr>
                  <w:tcW w:w="0" w:type="auto"/>
                </w:tcPr>
                <w:p w14:paraId="3B9B12FD" w14:textId="77777777" w:rsidR="00A5629E" w:rsidRDefault="00147B6A">
                  <w:r>
                    <w:t>4</w:t>
                  </w:r>
                </w:p>
              </w:tc>
              <w:tc>
                <w:tcPr>
                  <w:tcW w:w="0" w:type="auto"/>
                </w:tcPr>
                <w:p w14:paraId="47343F10" w14:textId="77777777" w:rsidR="00A5629E" w:rsidRDefault="00147B6A">
                  <w:r>
                    <w:t>Systeme und Systemdokumentation</w:t>
                  </w:r>
                </w:p>
              </w:tc>
              <w:tc>
                <w:tcPr>
                  <w:tcW w:w="0" w:type="auto"/>
                </w:tcPr>
                <w:p w14:paraId="3A6429C5" w14:textId="77777777" w:rsidR="00A5629E" w:rsidRDefault="00147B6A">
                  <w:r>
                    <w:t>S. 11</w:t>
                  </w:r>
                </w:p>
              </w:tc>
            </w:tr>
            <w:tr w:rsidR="00A5629E" w14:paraId="47F781B9" w14:textId="77777777">
              <w:tblPrEx>
                <w:tblCellMar>
                  <w:top w:w="0" w:type="dxa"/>
                  <w:bottom w:w="0" w:type="dxa"/>
                </w:tblCellMar>
              </w:tblPrEx>
              <w:tc>
                <w:tcPr>
                  <w:tcW w:w="0" w:type="auto"/>
                  <w:shd w:val="clear" w:color="auto" w:fill="auto"/>
                </w:tcPr>
                <w:p w14:paraId="25C3589C" w14:textId="77777777" w:rsidR="00A5629E" w:rsidRDefault="00147B6A">
                  <w:r>
                    <w:t>5</w:t>
                  </w:r>
                </w:p>
              </w:tc>
              <w:tc>
                <w:tcPr>
                  <w:tcW w:w="0" w:type="auto"/>
                  <w:shd w:val="clear" w:color="auto" w:fill="auto"/>
                </w:tcPr>
                <w:p w14:paraId="522B2420" w14:textId="77777777" w:rsidR="00A5629E" w:rsidRDefault="00147B6A">
                  <w:r>
                    <w:t>IKS (Internes Kontroll- und Steuerungssystem)</w:t>
                  </w:r>
                </w:p>
              </w:tc>
              <w:tc>
                <w:tcPr>
                  <w:tcW w:w="0" w:type="auto"/>
                  <w:shd w:val="clear" w:color="auto" w:fill="auto"/>
                </w:tcPr>
                <w:p w14:paraId="5C15B617" w14:textId="77777777" w:rsidR="00A5629E" w:rsidRDefault="00147B6A">
                  <w:r>
                    <w:t>S. 15</w:t>
                  </w:r>
                </w:p>
              </w:tc>
            </w:tr>
            <w:tr w:rsidR="00A5629E" w14:paraId="1D972955" w14:textId="77777777">
              <w:tblPrEx>
                <w:tblCellMar>
                  <w:top w:w="0" w:type="dxa"/>
                  <w:bottom w:w="0" w:type="dxa"/>
                </w:tblCellMar>
              </w:tblPrEx>
              <w:tc>
                <w:tcPr>
                  <w:tcW w:w="0" w:type="auto"/>
                </w:tcPr>
                <w:p w14:paraId="7D386939" w14:textId="77777777" w:rsidR="00A5629E" w:rsidRDefault="00147B6A">
                  <w:r>
                    <w:t>6</w:t>
                  </w:r>
                </w:p>
              </w:tc>
              <w:tc>
                <w:tcPr>
                  <w:tcW w:w="0" w:type="auto"/>
                </w:tcPr>
                <w:p w14:paraId="7829B9CC" w14:textId="77777777" w:rsidR="00A5629E" w:rsidRDefault="00147B6A">
                  <w:r>
                    <w:t>Audit-Zugriffe (Z1 bis Z3)</w:t>
                  </w:r>
                </w:p>
              </w:tc>
              <w:tc>
                <w:tcPr>
                  <w:tcW w:w="0" w:type="auto"/>
                </w:tcPr>
                <w:p w14:paraId="73C9BE51" w14:textId="77777777" w:rsidR="00A5629E" w:rsidRDefault="00147B6A">
                  <w:r>
                    <w:t>S. 17</w:t>
                  </w:r>
                </w:p>
              </w:tc>
            </w:tr>
            <w:tr w:rsidR="00A5629E" w14:paraId="1FE604DE" w14:textId="77777777">
              <w:tblPrEx>
                <w:tblCellMar>
                  <w:top w:w="0" w:type="dxa"/>
                  <w:bottom w:w="0" w:type="dxa"/>
                </w:tblCellMar>
              </w:tblPrEx>
              <w:tc>
                <w:tcPr>
                  <w:tcW w:w="0" w:type="auto"/>
                  <w:shd w:val="clear" w:color="auto" w:fill="auto"/>
                </w:tcPr>
                <w:p w14:paraId="4B1957C1" w14:textId="77777777" w:rsidR="00A5629E" w:rsidRDefault="00147B6A">
                  <w:r>
                    <w:t>7</w:t>
                  </w:r>
                </w:p>
              </w:tc>
              <w:tc>
                <w:tcPr>
                  <w:tcW w:w="0" w:type="auto"/>
                  <w:shd w:val="clear" w:color="auto" w:fill="auto"/>
                </w:tcPr>
                <w:p w14:paraId="26485198" w14:textId="77777777" w:rsidR="00A5629E" w:rsidRDefault="00147B6A">
                  <w:r>
                    <w:t>Checklisten</w:t>
                  </w:r>
                </w:p>
              </w:tc>
              <w:tc>
                <w:tcPr>
                  <w:tcW w:w="0" w:type="auto"/>
                  <w:shd w:val="clear" w:color="auto" w:fill="auto"/>
                </w:tcPr>
                <w:p w14:paraId="3F6EFCD3" w14:textId="77777777" w:rsidR="00A5629E" w:rsidRDefault="00147B6A">
                  <w:r>
                    <w:t>S. 19</w:t>
                  </w:r>
                </w:p>
              </w:tc>
            </w:tr>
          </w:tbl>
          <w:p w14:paraId="565586CC" w14:textId="77777777" w:rsidR="00A5629E" w:rsidRDefault="00A5629E"/>
        </w:tc>
      </w:tr>
    </w:tbl>
    <w:p w14:paraId="55855313" w14:textId="77777777" w:rsidR="00A5629E" w:rsidRDefault="00147B6A">
      <w:r>
        <w:rPr>
          <w:color w:val="3E3D40"/>
        </w:rPr>
        <w:t>Abbildung 3</w:t>
      </w:r>
    </w:p>
    <w:p w14:paraId="76D0E068" w14:textId="77777777" w:rsidR="00A5629E" w:rsidRDefault="00147B6A">
      <w:r>
        <w:rPr>
          <w:color w:val="3E3D40"/>
        </w:rPr>
        <w:t xml:space="preserve">Das </w:t>
      </w:r>
      <w:r>
        <w:rPr>
          <w:b/>
          <w:bCs/>
          <w:color w:val="3E3D40"/>
        </w:rPr>
        <w:t xml:space="preserve">Inhaltsverzeichnis </w:t>
      </w:r>
      <w:r>
        <w:rPr>
          <w:color w:val="3E3D40"/>
        </w:rPr>
        <w:t>(Abb. 3) soll nur die wesentliche Unterteilung zeigen, da insbesondere ein leichter Überblick für den Leser erreicht werden muss. Eine vollumfängliche Darstellung aller Einzelpunkte mit mehreren Gliederungsebenen erzeugt regelmäßig mehr Verwirrung als Über</w:t>
      </w:r>
      <w:r>
        <w:rPr>
          <w:color w:val="3E3D40"/>
        </w:rPr>
        <w:t>sicht. Die Grobgliederung enthält daher bei mittelständischen Unternehmen regelmäßig nur wenige Punkte.</w:t>
      </w:r>
    </w:p>
    <w:p w14:paraId="463DF42F" w14:textId="77777777" w:rsidR="00A5629E" w:rsidRDefault="00147B6A">
      <w:r>
        <w:rPr>
          <w:b/>
          <w:bCs/>
          <w:color w:val="892237"/>
        </w:rPr>
        <w:t xml:space="preserve"> 4. Prozessdokumentation </w:t>
      </w:r>
    </w:p>
    <w:p w14:paraId="51CD9966" w14:textId="77777777" w:rsidR="00A5629E" w:rsidRDefault="00147B6A">
      <w:r>
        <w:rPr>
          <w:b/>
          <w:bCs/>
          <w:color w:val="892237"/>
        </w:rPr>
        <w:t>4.1 Bestandteile</w:t>
      </w:r>
    </w:p>
    <w:p w14:paraId="5782AE3A" w14:textId="77777777" w:rsidR="00A5629E" w:rsidRDefault="00147B6A">
      <w:r>
        <w:rPr>
          <w:color w:val="3E3D40"/>
        </w:rPr>
        <w:t xml:space="preserve">Die Prozessdokumentation zu den Abläufen der Wertschöpfungskette als Herzstück der Verfahrensdokumentation besteht bevorzugt aus </w:t>
      </w:r>
    </w:p>
    <w:p w14:paraId="4B62CE8C" w14:textId="77777777" w:rsidR="00A5629E" w:rsidRDefault="00147B6A">
      <w:r>
        <w:rPr>
          <w:color w:val="892337"/>
        </w:rPr>
        <w:t>•</w:t>
      </w:r>
      <w:r>
        <w:rPr>
          <w:color w:val="3E3D40"/>
        </w:rPr>
        <w:t>einer (grafischen) Prozessübersicht,</w:t>
      </w:r>
    </w:p>
    <w:p w14:paraId="289AA4C8" w14:textId="77777777" w:rsidR="00A5629E" w:rsidRDefault="00147B6A">
      <w:r>
        <w:rPr>
          <w:color w:val="892337"/>
        </w:rPr>
        <w:t>•</w:t>
      </w:r>
      <w:r>
        <w:rPr>
          <w:color w:val="3E3D40"/>
        </w:rPr>
        <w:t>einem zusammenfassenden Beschreibungsdokument,</w:t>
      </w:r>
    </w:p>
    <w:p w14:paraId="4FB050EA" w14:textId="77777777" w:rsidR="00A5629E" w:rsidRDefault="00147B6A">
      <w:r>
        <w:rPr>
          <w:color w:val="892337"/>
        </w:rPr>
        <w:t>•</w:t>
      </w:r>
      <w:r>
        <w:rPr>
          <w:color w:val="3E3D40"/>
        </w:rPr>
        <w:t>Detailbeschreibungen, Anweisungen und H</w:t>
      </w:r>
      <w:r>
        <w:rPr>
          <w:color w:val="3E3D40"/>
        </w:rPr>
        <w:t>andbüchern bzw. den Verweisen darauf,</w:t>
      </w:r>
    </w:p>
    <w:p w14:paraId="3A1D0D0E" w14:textId="77777777" w:rsidR="00A5629E" w:rsidRDefault="00147B6A">
      <w:r>
        <w:rPr>
          <w:color w:val="892337"/>
        </w:rPr>
        <w:t>•</w:t>
      </w:r>
      <w:r>
        <w:rPr>
          <w:color w:val="3E3D40"/>
        </w:rPr>
        <w:t>ggf. Verweise auf externe Verfahrensdokumentationen zu ausgelagerten Prozessen,</w:t>
      </w:r>
    </w:p>
    <w:p w14:paraId="078AA915" w14:textId="77777777" w:rsidR="00A5629E" w:rsidRDefault="00147B6A">
      <w:r>
        <w:rPr>
          <w:color w:val="892337"/>
        </w:rPr>
        <w:t>•</w:t>
      </w:r>
      <w:r>
        <w:rPr>
          <w:color w:val="3E3D40"/>
        </w:rPr>
        <w:t>einer ergänzenden Dokumentation zu Unterstützungsprozessen,</w:t>
      </w:r>
    </w:p>
    <w:p w14:paraId="6D8539AE" w14:textId="77777777" w:rsidR="00A5629E" w:rsidRDefault="00147B6A">
      <w:r>
        <w:rPr>
          <w:color w:val="892337"/>
        </w:rPr>
        <w:t>•</w:t>
      </w:r>
      <w:r>
        <w:rPr>
          <w:color w:val="3E3D40"/>
        </w:rPr>
        <w:t>der Dokumentation der internen Kontrollen (IKS) sowie</w:t>
      </w:r>
    </w:p>
    <w:p w14:paraId="2B02CB1D" w14:textId="77777777" w:rsidR="00A5629E" w:rsidRDefault="00147B6A">
      <w:r>
        <w:rPr>
          <w:color w:val="892337"/>
        </w:rPr>
        <w:t>•</w:t>
      </w:r>
      <w:r>
        <w:rPr>
          <w:color w:val="3E3D40"/>
        </w:rPr>
        <w:t>optionalen Checklist</w:t>
      </w:r>
      <w:r>
        <w:rPr>
          <w:color w:val="3E3D40"/>
        </w:rPr>
        <w:t>en.</w:t>
      </w:r>
    </w:p>
    <w:p w14:paraId="2536D79A" w14:textId="77777777" w:rsidR="00A5629E" w:rsidRDefault="00147B6A">
      <w:r>
        <w:rPr>
          <w:b/>
          <w:bCs/>
          <w:color w:val="892237"/>
        </w:rPr>
        <w:t>4.2 Prozessübersicht/Workflows</w:t>
      </w:r>
    </w:p>
    <w:p w14:paraId="43F9EE09" w14:textId="77777777" w:rsidR="00A5629E" w:rsidRDefault="00147B6A">
      <w:r>
        <w:rPr>
          <w:color w:val="3E3D40"/>
        </w:rPr>
        <w:t>Die Prozessübersicht soll dem sachverständigen Dritten ein Verständnis über die einzelnen Prozesse, deren Zusammenhänge und die dabei eingesetzten Systeme ermöglichen. Die Übersicht beschreibt daher möglichst aggregiert n</w:t>
      </w:r>
      <w:r>
        <w:rPr>
          <w:color w:val="3E3D40"/>
        </w:rPr>
        <w:t xml:space="preserve">ur die wesentlichen Hauptprozesse (F1 etc.). </w:t>
      </w:r>
    </w:p>
    <w:p w14:paraId="662DA6DC" w14:textId="77777777" w:rsidR="00A5629E" w:rsidRDefault="00147B6A">
      <w:r>
        <w:rPr>
          <w:color w:val="3E3D40"/>
        </w:rPr>
        <w:t>Hierfür hat sich eine einfache grafische Darstellung bewährt (Abb. 4):</w:t>
      </w:r>
    </w:p>
    <w:p w14:paraId="00672CBA" w14:textId="77777777" w:rsidR="00A5629E" w:rsidRDefault="005B7A0B">
      <w:r>
        <w:pict w14:anchorId="38F33297">
          <v:shape id="_x0000_i1026" type="#_x0000_t75" style="width:450pt;height:252pt;mso-position-horizontal:left;mso-position-horizontal-relative:char;mso-position-vertical:top;mso-position-vertical-relative:line">
            <v:imagedata r:id="rId5" o:title=""/>
          </v:shape>
        </w:pict>
      </w:r>
      <w:r w:rsidR="00147B6A">
        <w:rPr>
          <w:color w:val="3E3D40"/>
        </w:rPr>
        <w:t>Abbildung 4</w:t>
      </w:r>
    </w:p>
    <w:p w14:paraId="112B9724" w14:textId="77777777" w:rsidR="00A5629E" w:rsidRDefault="00147B6A">
      <w:r>
        <w:rPr>
          <w:color w:val="3E3D40"/>
        </w:rPr>
        <w:t>In der Detailansicht sind die Komponenten (Teilprozesse, Risiken und Kontrollen) erkennbar (Abb. 5):</w:t>
      </w:r>
    </w:p>
    <w:p w14:paraId="50520311" w14:textId="77777777" w:rsidR="00A5629E" w:rsidRDefault="005B7A0B">
      <w:r>
        <w:pict w14:anchorId="64E8A6DE">
          <v:shape id="_x0000_i1027" type="#_x0000_t75" style="width:450pt;height:143.25pt;mso-position-horizontal:left;mso-position-horizontal-relative:char;mso-position-vertical:top;mso-position-vertical-relative:line">
            <v:imagedata r:id="rId6" o:title=""/>
          </v:shape>
        </w:pict>
      </w:r>
      <w:r w:rsidR="00147B6A">
        <w:rPr>
          <w:color w:val="3E3D40"/>
        </w:rPr>
        <w:t>Abbildung 5</w:t>
      </w:r>
    </w:p>
    <w:p w14:paraId="754C73DA" w14:textId="77777777" w:rsidR="00A5629E" w:rsidRDefault="00147B6A">
      <w:r>
        <w:rPr>
          <w:color w:val="3E3D40"/>
        </w:rPr>
        <w:t xml:space="preserve">Eine solche </w:t>
      </w:r>
      <w:r>
        <w:rPr>
          <w:color w:val="3E3D40"/>
        </w:rPr>
        <w:t>Prozessübersicht ist durch eine Legende zu den Symbolen zu ergänzen:</w:t>
      </w:r>
    </w:p>
    <w:p w14:paraId="11056BF5" w14:textId="77777777" w:rsidR="00A5629E" w:rsidRDefault="005B7A0B">
      <w:r>
        <w:pict w14:anchorId="4C566E96">
          <v:shape id="_x0000_i1028" type="#_x0000_t75" style="width:450pt;height:30pt;mso-position-horizontal:left;mso-position-horizontal-relative:char;mso-position-vertical:top;mso-position-vertical-relative:line">
            <v:imagedata r:id="rId7" o:title=""/>
          </v:shape>
        </w:pict>
      </w:r>
    </w:p>
    <w:p w14:paraId="180B4FED" w14:textId="77777777" w:rsidR="00A5629E" w:rsidRDefault="00147B6A">
      <w:r>
        <w:rPr>
          <w:color w:val="3E3D40"/>
        </w:rPr>
        <w:t>Abbildung 6</w:t>
      </w:r>
    </w:p>
    <w:p w14:paraId="0505FA3D" w14:textId="77777777" w:rsidR="00A5629E" w:rsidRDefault="00147B6A">
      <w:r>
        <w:rPr>
          <w:color w:val="3E3D40"/>
        </w:rPr>
        <w:t>Es empfiehlt sich, die Prozessdokumentation entlang der Auftragsbearbeitung (Wertschöpfungskette) aufzubauen, um größtmögliche Übersichtlichkeit herzustellen. Außerdem erlei</w:t>
      </w:r>
      <w:r>
        <w:rPr>
          <w:color w:val="3E3D40"/>
        </w:rPr>
        <w:t>chtert dies die Aufnahme der (Teil-)Prozesse und die Erstellung der Gesamtdokumentation.</w:t>
      </w:r>
    </w:p>
    <w:p w14:paraId="515DA00B" w14:textId="77777777" w:rsidR="00A5629E" w:rsidRDefault="00147B6A">
      <w:r>
        <w:rPr>
          <w:color w:val="3E3D40"/>
        </w:rPr>
        <w:t xml:space="preserve">Die Prozessdarstellung beinhaltet (als grobe Richtschnur): </w:t>
      </w:r>
    </w:p>
    <w:p w14:paraId="0FD1B472" w14:textId="77777777" w:rsidR="00A5629E" w:rsidRDefault="00147B6A">
      <w:r>
        <w:rPr>
          <w:color w:val="892337"/>
        </w:rPr>
        <w:t>•</w:t>
      </w:r>
      <w:r>
        <w:rPr>
          <w:color w:val="3E3D40"/>
        </w:rPr>
        <w:t xml:space="preserve">Beschaffung, </w:t>
      </w:r>
    </w:p>
    <w:p w14:paraId="7B0422D9" w14:textId="77777777" w:rsidR="00A5629E" w:rsidRDefault="00147B6A">
      <w:r>
        <w:rPr>
          <w:color w:val="892337"/>
        </w:rPr>
        <w:t>•</w:t>
      </w:r>
      <w:r>
        <w:rPr>
          <w:color w:val="3E3D40"/>
        </w:rPr>
        <w:t xml:space="preserve">Auftragsbearbeitung, </w:t>
      </w:r>
    </w:p>
    <w:p w14:paraId="68B9C9D4" w14:textId="77777777" w:rsidR="00A5629E" w:rsidRDefault="00147B6A">
      <w:r>
        <w:rPr>
          <w:color w:val="892337"/>
        </w:rPr>
        <w:t>•</w:t>
      </w:r>
      <w:r>
        <w:rPr>
          <w:color w:val="3E3D40"/>
        </w:rPr>
        <w:t xml:space="preserve">Vertrieb/Verkauf, </w:t>
      </w:r>
    </w:p>
    <w:p w14:paraId="3A80B28B" w14:textId="77777777" w:rsidR="00A5629E" w:rsidRDefault="00147B6A">
      <w:r>
        <w:rPr>
          <w:color w:val="892337"/>
        </w:rPr>
        <w:t>•</w:t>
      </w:r>
      <w:r>
        <w:rPr>
          <w:color w:val="3E3D40"/>
        </w:rPr>
        <w:t xml:space="preserve">Verbuchung und </w:t>
      </w:r>
    </w:p>
    <w:p w14:paraId="764E40E1" w14:textId="77777777" w:rsidR="00A5629E" w:rsidRDefault="00147B6A">
      <w:r>
        <w:rPr>
          <w:color w:val="892337"/>
        </w:rPr>
        <w:t>•</w:t>
      </w:r>
      <w:r>
        <w:rPr>
          <w:color w:val="3E3D40"/>
        </w:rPr>
        <w:t>Zahlungsverkehr,</w:t>
      </w:r>
    </w:p>
    <w:p w14:paraId="331BF565" w14:textId="77777777" w:rsidR="00A5629E" w:rsidRDefault="00147B6A">
      <w:r>
        <w:rPr>
          <w:color w:val="892337"/>
        </w:rPr>
        <w:t>•</w:t>
      </w:r>
      <w:r>
        <w:rPr>
          <w:color w:val="3E3D40"/>
        </w:rPr>
        <w:t>Stammdatenpfl</w:t>
      </w:r>
      <w:r>
        <w:rPr>
          <w:color w:val="3E3D40"/>
        </w:rPr>
        <w:t>ege zu den jeweiligen Bereichen sowie</w:t>
      </w:r>
    </w:p>
    <w:p w14:paraId="52A1EEB2" w14:textId="77777777" w:rsidR="00A5629E" w:rsidRDefault="00147B6A">
      <w:r>
        <w:rPr>
          <w:color w:val="892337"/>
        </w:rPr>
        <w:t>•</w:t>
      </w:r>
      <w:r>
        <w:rPr>
          <w:color w:val="3E3D40"/>
        </w:rPr>
        <w:t>ggf. auch Unterstützungsprozesse (Kalkulation, Abschlussarbeiten, Belegaufbewahrung etc.).</w:t>
      </w:r>
    </w:p>
    <w:p w14:paraId="294EF5B0" w14:textId="77777777" w:rsidR="00A5629E" w:rsidRDefault="00147B6A">
      <w:r>
        <w:rPr>
          <w:b/>
          <w:bCs/>
          <w:color w:val="892237"/>
        </w:rPr>
        <w:t>4.3 Beschreibung der Geschäftsprozesse</w:t>
      </w:r>
    </w:p>
    <w:p w14:paraId="55341E4E" w14:textId="77777777" w:rsidR="00A5629E" w:rsidRDefault="005B7A0B">
      <w:r>
        <w:pict w14:anchorId="2ADD4576">
          <v:shape id="_x0000_i1029" type="#_x0000_t75" style="width:141.75pt;height:111pt;mso-position-horizontal:left;mso-position-horizontal-relative:char;mso-position-vertical:top;mso-position-vertical-relative:line">
            <v:imagedata r:id="rId8" o:title=""/>
          </v:shape>
        </w:pict>
      </w:r>
      <w:r w:rsidR="00147B6A">
        <w:rPr>
          <w:color w:val="3E3D40"/>
        </w:rPr>
        <w:t xml:space="preserve">Die notwendigen Erläuterungen zur Prozessübersicht in 4.2 sind in einer Beschreibung der (Teil-)Geschäftsprozesse enthalten. Die narrative Dokumentation ist über die Nummerierung der Prozesse (P-Nr.) mit der grafischen Übersicht verlinkt. </w:t>
      </w:r>
    </w:p>
    <w:p w14:paraId="4B7B671C" w14:textId="77777777" w:rsidR="00A5629E" w:rsidRDefault="00147B6A">
      <w:r>
        <w:rPr>
          <w:color w:val="3E3D40"/>
        </w:rPr>
        <w:t>In dieser zweite</w:t>
      </w:r>
      <w:r>
        <w:rPr>
          <w:color w:val="3E3D40"/>
        </w:rPr>
        <w:t>n Ebene ist, dem Gedanken der Nachvollziehbarkeit und der Nachprüfbarkeit folgend, eine flüssig lesbare und übersichtliche Darstellung zur Prozessgrafik zu erstellen. Die Beschreibung sollte dazu nicht jedes Detail selbst darstellen. Durch Verweise auf ein</w:t>
      </w:r>
      <w:r>
        <w:rPr>
          <w:color w:val="3E3D40"/>
        </w:rPr>
        <w:t xml:space="preserve">e dritte Ebene, in der Detailprozesse dargestellt sind (Spalte „Kontrollen und Verweise“), wird eine überfrachtete und damit unübersichtliche Verfahrensdokumentation vermieden. Solche Detaildokumente finden sich in strukturierter Form insbesondere bei DIN </w:t>
      </w:r>
      <w:r>
        <w:rPr>
          <w:color w:val="3E3D40"/>
        </w:rPr>
        <w:t>ISO 9001-zertifizierten Unternehmen, aber auch bei jedem anderen „Mittelständler“ sind solche Dokumente als Anweisungen, Empfehlungen, Vorgaben oder Betriebsvereinbarungen regelmäßig bereits vorhanden. Die Aufgabe bei Erstellung und Pflege der Verfahrensdo</w:t>
      </w:r>
      <w:r>
        <w:rPr>
          <w:color w:val="3E3D40"/>
        </w:rPr>
        <w:t>kumentation ist es, diese zu ermitteln und strukturiert in das Gesamtwerk einzubinden.</w:t>
      </w:r>
    </w:p>
    <w:p w14:paraId="582F6FAB" w14:textId="77777777" w:rsidR="00A5629E" w:rsidRDefault="005B7A0B">
      <w:r>
        <w:pict w14:anchorId="05BE98F6">
          <v:shape id="_x0000_i1030" type="#_x0000_t75" style="width:191.25pt;height:162pt;mso-position-horizontal:left;mso-position-horizontal-relative:char;mso-position-vertical:top;mso-position-vertical-relative:line">
            <v:imagedata r:id="rId9" o:title=""/>
          </v:shape>
        </w:pict>
      </w:r>
      <w:r w:rsidR="00147B6A">
        <w:rPr>
          <w:color w:val="3E3D40"/>
        </w:rPr>
        <w:t>Zusätzlich zu den Prozessbeschreibungen sind die zugehörigen Prozesskontrollen darzustellen (vgl. 4.5). Die gegenseitige Verlinkung zu den Prozessen erfolgt dabei in einer gesonderten Spalte. Auf diese Weise wird auch das IKS (Internes Kontroll- und Steuer</w:t>
      </w:r>
      <w:r w:rsidR="00147B6A">
        <w:rPr>
          <w:color w:val="3E3D40"/>
        </w:rPr>
        <w:t>ungssystem) in der Verfahrensdokumentation abgebildet, wie es Rz. 102 der GoBD fordert.</w:t>
      </w:r>
    </w:p>
    <w:p w14:paraId="2EDBCC70" w14:textId="77777777" w:rsidR="00A5629E" w:rsidRDefault="005B7A0B">
      <w:r>
        <w:pict w14:anchorId="7BFEC7B7">
          <v:shape id="_x0000_i1031" type="#_x0000_t75" style="width:141.75pt;height:129.75pt;mso-position-horizontal:left;mso-position-horizontal-relative:char;mso-position-vertical:top;mso-position-vertical-relative:line">
            <v:imagedata r:id="rId10" o:title=""/>
          </v:shape>
        </w:pict>
      </w:r>
      <w:r w:rsidR="00147B6A">
        <w:rPr>
          <w:color w:val="3E3D40"/>
        </w:rPr>
        <w:t>Sofern die Prozess- und Kontrolldokumentation risikoorientiert aufgebaut wird, können sogar die betrachteten Risiken mit angegeben werden. Neben Risiken zur Ordnungsmä</w:t>
      </w:r>
      <w:r w:rsidR="00147B6A">
        <w:rPr>
          <w:color w:val="3E3D40"/>
        </w:rPr>
        <w:t xml:space="preserve">ßigkeit der Rechnungslegung können z. B. auch Datenschutzrisiken und die zugehörigen Kontrollen erfasst werden. Gerade vor dem Hintergrund der EU-DSGVO lassen sich mit einem solchen umfassenden Ansatz signifikante Synergieeffekte erzielen. Die Darstellung </w:t>
      </w:r>
      <w:r w:rsidR="00147B6A">
        <w:rPr>
          <w:color w:val="3E3D40"/>
        </w:rPr>
        <w:t>der Risiken und die Wirkung der Kontrollen auf ebendiese erfolgt jedoch zweckmäßigerweise in einem gesonderten Dokument zum Risikomanagement.</w:t>
      </w:r>
    </w:p>
    <w:p w14:paraId="413EABF2" w14:textId="77777777" w:rsidR="00A5629E" w:rsidRDefault="00147B6A">
      <w:r>
        <w:rPr>
          <w:color w:val="3E3D40"/>
        </w:rPr>
        <w:t>Nachfolgend sind Ausschnitte aus einer Dokumentation zu einer Prozessübersicht (4.2) wiedergegeben:</w:t>
      </w:r>
    </w:p>
    <w:p w14:paraId="1C5732CA" w14:textId="77777777" w:rsidR="00A5629E" w:rsidRDefault="00147B6A">
      <w:r>
        <w:rPr>
          <w:color w:val="3E3D40"/>
        </w:rPr>
        <w:t>In der Beschre</w:t>
      </w:r>
      <w:r>
        <w:rPr>
          <w:color w:val="3E3D40"/>
        </w:rPr>
        <w:t>ibungstabelle (Abb. 7) wird in der Spalte „Kontrollen/Verweise“ auf eine ggf. bereits vorhandene (detailliertere) Abteilungsdokumentation, die Standarddokumentation des Softwareherstellers sowie auf Abteilungsanweisungen und Betriebsvereinbarungen verwiese</w:t>
      </w:r>
      <w:r>
        <w:rPr>
          <w:color w:val="3E3D40"/>
        </w:rPr>
        <w:t>n. Eine redundante Vorhaltung innerhalb der Verfahrensdokumentation sollte hier vermieden werden, um die einfache Pflege solcher Dokumente zu erhalten. Ggf. sind aber Angaben zur Versionierung und Gültigkeitszeiträume zu ergänzen.</w:t>
      </w:r>
    </w:p>
    <w:tbl>
      <w:tblPr>
        <w:tblW w:w="0" w:type="auto"/>
        <w:tblInd w:w="10" w:type="dxa"/>
        <w:tblCellMar>
          <w:left w:w="10" w:type="dxa"/>
          <w:right w:w="10" w:type="dxa"/>
        </w:tblCellMar>
        <w:tblLook w:val="0000" w:firstRow="0" w:lastRow="0" w:firstColumn="0" w:lastColumn="0" w:noHBand="0" w:noVBand="0"/>
      </w:tblPr>
      <w:tblGrid>
        <w:gridCol w:w="409"/>
        <w:gridCol w:w="2490"/>
        <w:gridCol w:w="2396"/>
        <w:gridCol w:w="913"/>
        <w:gridCol w:w="2827"/>
      </w:tblGrid>
      <w:tr w:rsidR="00A5629E" w14:paraId="3C37B25E" w14:textId="77777777">
        <w:tblPrEx>
          <w:tblCellMar>
            <w:top w:w="0" w:type="dxa"/>
            <w:bottom w:w="0" w:type="dxa"/>
          </w:tblCellMar>
        </w:tblPrEx>
        <w:trPr>
          <w:tblHeader/>
        </w:trPr>
        <w:tc>
          <w:tcPr>
            <w:tcW w:w="0" w:type="auto"/>
          </w:tcPr>
          <w:p w14:paraId="58443AFC" w14:textId="77777777" w:rsidR="00A5629E" w:rsidRDefault="00147B6A">
            <w:r>
              <w:t>PNr.</w:t>
            </w:r>
          </w:p>
        </w:tc>
        <w:tc>
          <w:tcPr>
            <w:tcW w:w="0" w:type="auto"/>
          </w:tcPr>
          <w:p w14:paraId="4C97B9F3" w14:textId="77777777" w:rsidR="00A5629E" w:rsidRDefault="00147B6A">
            <w:r>
              <w:t>Prozess/Teilprozess/</w:t>
            </w:r>
            <w:r>
              <w:t xml:space="preserve">Vorgang </w:t>
            </w:r>
          </w:p>
        </w:tc>
        <w:tc>
          <w:tcPr>
            <w:tcW w:w="0" w:type="auto"/>
          </w:tcPr>
          <w:p w14:paraId="73C58866" w14:textId="77777777" w:rsidR="00A5629E" w:rsidRDefault="00147B6A">
            <w:r>
              <w:t>Beschreibung</w:t>
            </w:r>
          </w:p>
        </w:tc>
        <w:tc>
          <w:tcPr>
            <w:tcW w:w="0" w:type="auto"/>
          </w:tcPr>
          <w:p w14:paraId="7C0EAB2F" w14:textId="77777777" w:rsidR="00A5629E" w:rsidRDefault="00147B6A">
            <w:r>
              <w:t>System</w:t>
            </w:r>
          </w:p>
        </w:tc>
        <w:tc>
          <w:tcPr>
            <w:tcW w:w="0" w:type="auto"/>
          </w:tcPr>
          <w:p w14:paraId="59CA2D46" w14:textId="77777777" w:rsidR="00A5629E" w:rsidRDefault="00147B6A">
            <w:r>
              <w:t>Kontrollen/</w:t>
            </w:r>
            <w:r>
              <w:br/>
              <w:t>Verweise</w:t>
            </w:r>
          </w:p>
        </w:tc>
      </w:tr>
      <w:tr w:rsidR="00A5629E" w14:paraId="5299534F" w14:textId="77777777">
        <w:tblPrEx>
          <w:tblCellMar>
            <w:top w:w="0" w:type="dxa"/>
            <w:bottom w:w="0" w:type="dxa"/>
          </w:tblCellMar>
        </w:tblPrEx>
        <w:tc>
          <w:tcPr>
            <w:tcW w:w="0" w:type="auto"/>
          </w:tcPr>
          <w:p w14:paraId="3FC2951E" w14:textId="77777777" w:rsidR="00A5629E" w:rsidRDefault="00147B6A">
            <w:r>
              <w:t>F1</w:t>
            </w:r>
          </w:p>
        </w:tc>
        <w:tc>
          <w:tcPr>
            <w:tcW w:w="0" w:type="auto"/>
          </w:tcPr>
          <w:p w14:paraId="26DF78FD" w14:textId="77777777" w:rsidR="00A5629E" w:rsidRDefault="00147B6A">
            <w:r>
              <w:t>Vertrieb</w:t>
            </w:r>
          </w:p>
        </w:tc>
        <w:tc>
          <w:tcPr>
            <w:tcW w:w="0" w:type="auto"/>
          </w:tcPr>
          <w:p w14:paraId="66315AA0" w14:textId="77777777" w:rsidR="00A5629E" w:rsidRDefault="00147B6A">
            <w:r>
              <w:t>Workflow 1 — Auftragssteuerung</w:t>
            </w:r>
          </w:p>
        </w:tc>
        <w:tc>
          <w:tcPr>
            <w:tcW w:w="0" w:type="auto"/>
          </w:tcPr>
          <w:p w14:paraId="0E6E885D" w14:textId="77777777" w:rsidR="00A5629E" w:rsidRDefault="00147B6A">
            <w:r>
              <w:t>div.</w:t>
            </w:r>
          </w:p>
        </w:tc>
        <w:tc>
          <w:tcPr>
            <w:tcW w:w="0" w:type="auto"/>
          </w:tcPr>
          <w:p w14:paraId="41722244" w14:textId="77777777" w:rsidR="00A5629E" w:rsidRDefault="00147B6A">
            <w:r>
              <w:t>Geschäftsbereichsdokumentation Vertrieb im Intranet</w:t>
            </w:r>
          </w:p>
        </w:tc>
      </w:tr>
      <w:tr w:rsidR="00A5629E" w14:paraId="4A11264B" w14:textId="77777777">
        <w:tblPrEx>
          <w:tblCellMar>
            <w:top w:w="0" w:type="dxa"/>
            <w:bottom w:w="0" w:type="dxa"/>
          </w:tblCellMar>
        </w:tblPrEx>
        <w:tc>
          <w:tcPr>
            <w:tcW w:w="0" w:type="auto"/>
            <w:shd w:val="clear" w:color="auto" w:fill="auto"/>
          </w:tcPr>
          <w:p w14:paraId="5F1DD7E9" w14:textId="77777777" w:rsidR="00A5629E" w:rsidRDefault="00147B6A">
            <w:r>
              <w:t>P1</w:t>
            </w:r>
          </w:p>
        </w:tc>
        <w:tc>
          <w:tcPr>
            <w:tcW w:w="0" w:type="auto"/>
            <w:shd w:val="clear" w:color="auto" w:fill="auto"/>
          </w:tcPr>
          <w:p w14:paraId="16F0FA29" w14:textId="77777777" w:rsidR="00A5629E" w:rsidRDefault="00147B6A">
            <w:r>
              <w:t>Auftragseingang</w:t>
            </w:r>
          </w:p>
        </w:tc>
        <w:tc>
          <w:tcPr>
            <w:tcW w:w="0" w:type="auto"/>
            <w:shd w:val="clear" w:color="auto" w:fill="auto"/>
          </w:tcPr>
          <w:p w14:paraId="35B9BBAE" w14:textId="77777777" w:rsidR="00A5629E" w:rsidRDefault="00147B6A">
            <w:r>
              <w:t>Abteilungsdokumentation Vertrieb</w:t>
            </w:r>
          </w:p>
        </w:tc>
        <w:tc>
          <w:tcPr>
            <w:tcW w:w="0" w:type="auto"/>
            <w:shd w:val="clear" w:color="auto" w:fill="auto"/>
          </w:tcPr>
          <w:p w14:paraId="3161D24F" w14:textId="77777777" w:rsidR="00A5629E" w:rsidRDefault="00147B6A">
            <w:r>
              <w:t>div.</w:t>
            </w:r>
          </w:p>
        </w:tc>
        <w:tc>
          <w:tcPr>
            <w:tcW w:w="0" w:type="auto"/>
            <w:shd w:val="clear" w:color="auto" w:fill="auto"/>
          </w:tcPr>
          <w:p w14:paraId="10CE0136" w14:textId="77777777" w:rsidR="00A5629E" w:rsidRDefault="00A5629E"/>
        </w:tc>
      </w:tr>
      <w:tr w:rsidR="00A5629E" w14:paraId="42996EE2" w14:textId="77777777">
        <w:tblPrEx>
          <w:tblCellMar>
            <w:top w:w="0" w:type="dxa"/>
            <w:bottom w:w="0" w:type="dxa"/>
          </w:tblCellMar>
        </w:tblPrEx>
        <w:tc>
          <w:tcPr>
            <w:tcW w:w="0" w:type="auto"/>
          </w:tcPr>
          <w:p w14:paraId="0EF6F57F" w14:textId="77777777" w:rsidR="00A5629E" w:rsidRDefault="00147B6A">
            <w:r>
              <w:t>P1.1</w:t>
            </w:r>
          </w:p>
        </w:tc>
        <w:tc>
          <w:tcPr>
            <w:tcW w:w="0" w:type="auto"/>
          </w:tcPr>
          <w:p w14:paraId="3334D258" w14:textId="77777777" w:rsidR="00A5629E" w:rsidRDefault="00147B6A">
            <w:r>
              <w:t>Kunden-Auftragsannahme</w:t>
            </w:r>
          </w:p>
        </w:tc>
        <w:tc>
          <w:tcPr>
            <w:tcW w:w="0" w:type="auto"/>
          </w:tcPr>
          <w:p w14:paraId="0C763F35" w14:textId="77777777" w:rsidR="00A5629E" w:rsidRDefault="00147B6A">
            <w:r>
              <w:t xml:space="preserve">Aufträge werden mdl. direkt oder per Telefon besprochen. Angenommene Aufträge werden ausschließlich am PC erfasst. </w:t>
            </w:r>
          </w:p>
        </w:tc>
        <w:tc>
          <w:tcPr>
            <w:tcW w:w="0" w:type="auto"/>
          </w:tcPr>
          <w:p w14:paraId="2F638170" w14:textId="77777777" w:rsidR="00A5629E" w:rsidRDefault="00147B6A">
            <w:r>
              <w:t>CRM-SYS</w:t>
            </w:r>
          </w:p>
        </w:tc>
        <w:tc>
          <w:tcPr>
            <w:tcW w:w="0" w:type="auto"/>
          </w:tcPr>
          <w:p w14:paraId="17696D79" w14:textId="77777777" w:rsidR="00A5629E" w:rsidRDefault="00147B6A">
            <w:r>
              <w:t>c1.1.1</w:t>
            </w:r>
          </w:p>
        </w:tc>
      </w:tr>
      <w:tr w:rsidR="00A5629E" w14:paraId="6CC6F3BA" w14:textId="77777777">
        <w:tblPrEx>
          <w:tblCellMar>
            <w:top w:w="0" w:type="dxa"/>
            <w:bottom w:w="0" w:type="dxa"/>
          </w:tblCellMar>
        </w:tblPrEx>
        <w:tc>
          <w:tcPr>
            <w:tcW w:w="0" w:type="auto"/>
            <w:shd w:val="clear" w:color="auto" w:fill="auto"/>
          </w:tcPr>
          <w:p w14:paraId="133FA939" w14:textId="77777777" w:rsidR="00A5629E" w:rsidRDefault="00147B6A">
            <w:r>
              <w:t>P1.2</w:t>
            </w:r>
          </w:p>
        </w:tc>
        <w:tc>
          <w:tcPr>
            <w:tcW w:w="0" w:type="auto"/>
            <w:shd w:val="clear" w:color="auto" w:fill="auto"/>
          </w:tcPr>
          <w:p w14:paraId="0C4BB060" w14:textId="77777777" w:rsidR="00A5629E" w:rsidRDefault="00147B6A">
            <w:r>
              <w:t>Kunden-Stammdatenpflege</w:t>
            </w:r>
          </w:p>
        </w:tc>
        <w:tc>
          <w:tcPr>
            <w:tcW w:w="0" w:type="auto"/>
            <w:shd w:val="clear" w:color="auto" w:fill="auto"/>
          </w:tcPr>
          <w:p w14:paraId="4EB9FCFC" w14:textId="77777777" w:rsidR="00A5629E" w:rsidRDefault="00147B6A">
            <w:r>
              <w:t>Bei Neukunden werden die Stammdaten (Adressdaten) neu angelegt. Hierzu e</w:t>
            </w:r>
            <w:r>
              <w:t>rfolgt eine Bonitätsprüfung durch den Vertrieb.</w:t>
            </w:r>
          </w:p>
          <w:p w14:paraId="502B2C88" w14:textId="77777777" w:rsidR="00A5629E" w:rsidRDefault="00147B6A">
            <w:r>
              <w:t>Die Bankstammdaten werden nur durch die Buchhaltung im Modul „ERPone“-FI gepflegt.</w:t>
            </w:r>
          </w:p>
        </w:tc>
        <w:tc>
          <w:tcPr>
            <w:tcW w:w="0" w:type="auto"/>
            <w:shd w:val="clear" w:color="auto" w:fill="auto"/>
          </w:tcPr>
          <w:p w14:paraId="23584735" w14:textId="77777777" w:rsidR="00A5629E" w:rsidRDefault="00147B6A">
            <w:r>
              <w:t>„ERPone“</w:t>
            </w:r>
          </w:p>
          <w:p w14:paraId="0CB08204" w14:textId="77777777" w:rsidR="00A5629E" w:rsidRDefault="00147B6A">
            <w:r>
              <w:t>„ERPone“-FI</w:t>
            </w:r>
          </w:p>
        </w:tc>
        <w:tc>
          <w:tcPr>
            <w:tcW w:w="0" w:type="auto"/>
            <w:shd w:val="clear" w:color="auto" w:fill="auto"/>
          </w:tcPr>
          <w:p w14:paraId="6A788B0C" w14:textId="77777777" w:rsidR="00A5629E" w:rsidRDefault="00147B6A">
            <w:r>
              <w:t>Einkauf-Dok.: Bonitätsprüfung.pdf</w:t>
            </w:r>
          </w:p>
          <w:p w14:paraId="2D7B4305" w14:textId="77777777" w:rsidR="00A5629E" w:rsidRDefault="00147B6A">
            <w:r>
              <w:t>FI-Dok.: Pflege Deb/Kred-Stammdaten</w:t>
            </w:r>
          </w:p>
        </w:tc>
      </w:tr>
      <w:tr w:rsidR="00A5629E" w14:paraId="1304A65B" w14:textId="77777777">
        <w:tblPrEx>
          <w:tblCellMar>
            <w:top w:w="0" w:type="dxa"/>
            <w:bottom w:w="0" w:type="dxa"/>
          </w:tblCellMar>
        </w:tblPrEx>
        <w:tc>
          <w:tcPr>
            <w:tcW w:w="0" w:type="auto"/>
          </w:tcPr>
          <w:p w14:paraId="27810967" w14:textId="77777777" w:rsidR="00A5629E" w:rsidRDefault="00147B6A">
            <w:r>
              <w:t>F2</w:t>
            </w:r>
          </w:p>
        </w:tc>
        <w:tc>
          <w:tcPr>
            <w:tcW w:w="0" w:type="auto"/>
          </w:tcPr>
          <w:p w14:paraId="1C527E60" w14:textId="77777777" w:rsidR="00A5629E" w:rsidRDefault="00147B6A">
            <w:r>
              <w:t>Beschaffung</w:t>
            </w:r>
          </w:p>
        </w:tc>
        <w:tc>
          <w:tcPr>
            <w:tcW w:w="0" w:type="auto"/>
          </w:tcPr>
          <w:p w14:paraId="23C6E711" w14:textId="77777777" w:rsidR="00A5629E" w:rsidRDefault="00147B6A">
            <w:r>
              <w:t>Workflow 2 — Beschaffung</w:t>
            </w:r>
          </w:p>
        </w:tc>
        <w:tc>
          <w:tcPr>
            <w:tcW w:w="0" w:type="auto"/>
          </w:tcPr>
          <w:p w14:paraId="209B47E0" w14:textId="77777777" w:rsidR="00A5629E" w:rsidRDefault="00A5629E"/>
        </w:tc>
        <w:tc>
          <w:tcPr>
            <w:tcW w:w="0" w:type="auto"/>
          </w:tcPr>
          <w:p w14:paraId="002127E8" w14:textId="77777777" w:rsidR="00A5629E" w:rsidRDefault="00A5629E"/>
        </w:tc>
      </w:tr>
      <w:tr w:rsidR="00A5629E" w14:paraId="5DFEF9A9" w14:textId="77777777">
        <w:tblPrEx>
          <w:tblCellMar>
            <w:top w:w="0" w:type="dxa"/>
            <w:bottom w:w="0" w:type="dxa"/>
          </w:tblCellMar>
        </w:tblPrEx>
        <w:tc>
          <w:tcPr>
            <w:tcW w:w="0" w:type="auto"/>
            <w:shd w:val="clear" w:color="auto" w:fill="auto"/>
          </w:tcPr>
          <w:p w14:paraId="346EB7F1" w14:textId="77777777" w:rsidR="00A5629E" w:rsidRDefault="00147B6A">
            <w:r>
              <w:t>P2</w:t>
            </w:r>
          </w:p>
        </w:tc>
        <w:tc>
          <w:tcPr>
            <w:tcW w:w="0" w:type="auto"/>
            <w:shd w:val="clear" w:color="auto" w:fill="auto"/>
          </w:tcPr>
          <w:p w14:paraId="16937A51" w14:textId="77777777" w:rsidR="00A5629E" w:rsidRDefault="00147B6A">
            <w:r>
              <w:t>Bestellwesen</w:t>
            </w:r>
          </w:p>
        </w:tc>
        <w:tc>
          <w:tcPr>
            <w:tcW w:w="0" w:type="auto"/>
            <w:shd w:val="clear" w:color="auto" w:fill="auto"/>
          </w:tcPr>
          <w:p w14:paraId="32C83258" w14:textId="77777777" w:rsidR="00A5629E" w:rsidRDefault="00147B6A">
            <w:r>
              <w:t>Abteilungsdokumentation Beschaffung</w:t>
            </w:r>
          </w:p>
        </w:tc>
        <w:tc>
          <w:tcPr>
            <w:tcW w:w="0" w:type="auto"/>
            <w:shd w:val="clear" w:color="auto" w:fill="auto"/>
          </w:tcPr>
          <w:p w14:paraId="4540274B" w14:textId="77777777" w:rsidR="00A5629E" w:rsidRDefault="00A5629E"/>
        </w:tc>
        <w:tc>
          <w:tcPr>
            <w:tcW w:w="0" w:type="auto"/>
            <w:shd w:val="clear" w:color="auto" w:fill="auto"/>
          </w:tcPr>
          <w:p w14:paraId="49305378" w14:textId="77777777" w:rsidR="00A5629E" w:rsidRDefault="00A5629E"/>
        </w:tc>
      </w:tr>
      <w:tr w:rsidR="00A5629E" w14:paraId="44C58343" w14:textId="77777777">
        <w:tblPrEx>
          <w:tblCellMar>
            <w:top w:w="0" w:type="dxa"/>
            <w:bottom w:w="0" w:type="dxa"/>
          </w:tblCellMar>
        </w:tblPrEx>
        <w:tc>
          <w:tcPr>
            <w:tcW w:w="0" w:type="auto"/>
          </w:tcPr>
          <w:p w14:paraId="19BCA4C9" w14:textId="77777777" w:rsidR="00A5629E" w:rsidRDefault="00147B6A">
            <w:r>
              <w:t>P2.2</w:t>
            </w:r>
          </w:p>
        </w:tc>
        <w:tc>
          <w:tcPr>
            <w:tcW w:w="0" w:type="auto"/>
          </w:tcPr>
          <w:p w14:paraId="750A6512" w14:textId="77777777" w:rsidR="00A5629E" w:rsidRDefault="00147B6A">
            <w:r>
              <w:t>Artikel-Stammdatenpflege</w:t>
            </w:r>
          </w:p>
        </w:tc>
        <w:tc>
          <w:tcPr>
            <w:tcW w:w="0" w:type="auto"/>
          </w:tcPr>
          <w:p w14:paraId="2AD44A44" w14:textId="77777777" w:rsidR="00A5629E" w:rsidRDefault="00147B6A">
            <w:r>
              <w:t>Artikelstammdaten zu RHB und Waren (GLD) werden lfd. erfasst. UE/FE (Standardpreise) werden halbjährlich neu kalkuliert.</w:t>
            </w:r>
          </w:p>
        </w:tc>
        <w:tc>
          <w:tcPr>
            <w:tcW w:w="0" w:type="auto"/>
          </w:tcPr>
          <w:p w14:paraId="2D31EDBE" w14:textId="77777777" w:rsidR="00A5629E" w:rsidRDefault="00147B6A">
            <w:r>
              <w:t>„ERPone“</w:t>
            </w:r>
          </w:p>
        </w:tc>
        <w:tc>
          <w:tcPr>
            <w:tcW w:w="0" w:type="auto"/>
          </w:tcPr>
          <w:p w14:paraId="6F7A6019" w14:textId="77777777" w:rsidR="00A5629E" w:rsidRDefault="00147B6A">
            <w:r>
              <w:t>Logistik-Dok.: „ERPone“ Materialwirtschaft</w:t>
            </w:r>
          </w:p>
        </w:tc>
      </w:tr>
      <w:tr w:rsidR="00A5629E" w14:paraId="1CC49BC0" w14:textId="77777777">
        <w:tblPrEx>
          <w:tblCellMar>
            <w:top w:w="0" w:type="dxa"/>
            <w:bottom w:w="0" w:type="dxa"/>
          </w:tblCellMar>
        </w:tblPrEx>
        <w:tc>
          <w:tcPr>
            <w:tcW w:w="0" w:type="auto"/>
            <w:shd w:val="clear" w:color="auto" w:fill="auto"/>
          </w:tcPr>
          <w:p w14:paraId="684975A2" w14:textId="77777777" w:rsidR="00A5629E" w:rsidRDefault="00147B6A">
            <w:r>
              <w:t>P2.3</w:t>
            </w:r>
          </w:p>
        </w:tc>
        <w:tc>
          <w:tcPr>
            <w:tcW w:w="0" w:type="auto"/>
            <w:shd w:val="clear" w:color="auto" w:fill="auto"/>
          </w:tcPr>
          <w:p w14:paraId="6532AEF3" w14:textId="77777777" w:rsidR="00A5629E" w:rsidRDefault="00147B6A">
            <w:r>
              <w:t>Lieferanten-Stammdatenpflege</w:t>
            </w:r>
          </w:p>
        </w:tc>
        <w:tc>
          <w:tcPr>
            <w:tcW w:w="0" w:type="auto"/>
            <w:shd w:val="clear" w:color="auto" w:fill="auto"/>
          </w:tcPr>
          <w:p w14:paraId="646E9E14" w14:textId="77777777" w:rsidR="00A5629E" w:rsidRDefault="00147B6A">
            <w:r>
              <w:t>Lieferantenstammdaten werden durch die Abt. Eink</w:t>
            </w:r>
            <w:r>
              <w:t>auf gepflegt.</w:t>
            </w:r>
          </w:p>
          <w:p w14:paraId="02B3647F" w14:textId="77777777" w:rsidR="00A5629E" w:rsidRDefault="00147B6A">
            <w:r>
              <w:t>Die Bankstammdaten werden nur durch die Buchhaltung im Modul „ERPone“-FI gepflegt.</w:t>
            </w:r>
          </w:p>
        </w:tc>
        <w:tc>
          <w:tcPr>
            <w:tcW w:w="0" w:type="auto"/>
            <w:shd w:val="clear" w:color="auto" w:fill="auto"/>
          </w:tcPr>
          <w:p w14:paraId="37231FF3" w14:textId="77777777" w:rsidR="00A5629E" w:rsidRDefault="00147B6A">
            <w:r>
              <w:t>„ERPone“</w:t>
            </w:r>
          </w:p>
          <w:p w14:paraId="598D6F84" w14:textId="77777777" w:rsidR="00A5629E" w:rsidRDefault="00147B6A">
            <w:r>
              <w:t>„ERPone“-Modul FI</w:t>
            </w:r>
          </w:p>
        </w:tc>
        <w:tc>
          <w:tcPr>
            <w:tcW w:w="0" w:type="auto"/>
            <w:shd w:val="clear" w:color="auto" w:fill="auto"/>
          </w:tcPr>
          <w:p w14:paraId="21FBFB50" w14:textId="77777777" w:rsidR="00A5629E" w:rsidRDefault="00147B6A">
            <w:r>
              <w:t>Einkauf-Dok.: „ERPone“ Materialwirtschaft</w:t>
            </w:r>
          </w:p>
          <w:p w14:paraId="5AE4F62A" w14:textId="77777777" w:rsidR="00A5629E" w:rsidRDefault="00147B6A">
            <w:r>
              <w:t>FI-Dok.: Pflege Deb/Kred-Stammdaten</w:t>
            </w:r>
          </w:p>
        </w:tc>
      </w:tr>
      <w:tr w:rsidR="00A5629E" w14:paraId="5B301894" w14:textId="77777777">
        <w:tblPrEx>
          <w:tblCellMar>
            <w:top w:w="0" w:type="dxa"/>
            <w:bottom w:w="0" w:type="dxa"/>
          </w:tblCellMar>
        </w:tblPrEx>
        <w:tc>
          <w:tcPr>
            <w:tcW w:w="0" w:type="auto"/>
          </w:tcPr>
          <w:p w14:paraId="3D97DD35" w14:textId="77777777" w:rsidR="00A5629E" w:rsidRDefault="00147B6A">
            <w:r>
              <w:t>P2.5</w:t>
            </w:r>
          </w:p>
        </w:tc>
        <w:tc>
          <w:tcPr>
            <w:tcW w:w="0" w:type="auto"/>
          </w:tcPr>
          <w:p w14:paraId="060E0689" w14:textId="77777777" w:rsidR="00A5629E" w:rsidRDefault="00147B6A">
            <w:r>
              <w:t>Beschaffung Material Fremdleistungen</w:t>
            </w:r>
          </w:p>
        </w:tc>
        <w:tc>
          <w:tcPr>
            <w:tcW w:w="0" w:type="auto"/>
          </w:tcPr>
          <w:p w14:paraId="631D65CC" w14:textId="77777777" w:rsidR="00A5629E" w:rsidRDefault="00147B6A">
            <w:r>
              <w:t>Beschaffungsanforderungen werden durch Mindestbestandsmengen automatisiert (Lagerartikel) oder aus Kundenaufträgen generiert (auch Fremdleistungen).</w:t>
            </w:r>
          </w:p>
        </w:tc>
        <w:tc>
          <w:tcPr>
            <w:tcW w:w="0" w:type="auto"/>
          </w:tcPr>
          <w:p w14:paraId="79D72D81" w14:textId="77777777" w:rsidR="00A5629E" w:rsidRDefault="00147B6A">
            <w:r>
              <w:t>„ERPone“</w:t>
            </w:r>
          </w:p>
        </w:tc>
        <w:tc>
          <w:tcPr>
            <w:tcW w:w="0" w:type="auto"/>
          </w:tcPr>
          <w:p w14:paraId="4EF9AB5E" w14:textId="77777777" w:rsidR="00A5629E" w:rsidRDefault="00147B6A">
            <w:r>
              <w:t>Std-Dok.: „ERPone“ Modul Einkauf</w:t>
            </w:r>
          </w:p>
        </w:tc>
      </w:tr>
      <w:tr w:rsidR="00A5629E" w14:paraId="24441EC8" w14:textId="77777777">
        <w:tblPrEx>
          <w:tblCellMar>
            <w:top w:w="0" w:type="dxa"/>
            <w:bottom w:w="0" w:type="dxa"/>
          </w:tblCellMar>
        </w:tblPrEx>
        <w:tc>
          <w:tcPr>
            <w:tcW w:w="0" w:type="auto"/>
            <w:shd w:val="clear" w:color="auto" w:fill="auto"/>
          </w:tcPr>
          <w:p w14:paraId="5F2BC107" w14:textId="77777777" w:rsidR="00A5629E" w:rsidRDefault="00147B6A">
            <w:r>
              <w:t>P2.6</w:t>
            </w:r>
          </w:p>
        </w:tc>
        <w:tc>
          <w:tcPr>
            <w:tcW w:w="0" w:type="auto"/>
            <w:shd w:val="clear" w:color="auto" w:fill="auto"/>
          </w:tcPr>
          <w:p w14:paraId="2C990C86" w14:textId="77777777" w:rsidR="00A5629E" w:rsidRDefault="00147B6A">
            <w:r>
              <w:t>Bestellwesen</w:t>
            </w:r>
          </w:p>
        </w:tc>
        <w:tc>
          <w:tcPr>
            <w:tcW w:w="0" w:type="auto"/>
            <w:shd w:val="clear" w:color="auto" w:fill="auto"/>
          </w:tcPr>
          <w:p w14:paraId="06824880" w14:textId="77777777" w:rsidR="00A5629E" w:rsidRDefault="00147B6A">
            <w:r>
              <w:t>Bestellun</w:t>
            </w:r>
            <w:r>
              <w:t>gen zur Produktion werden durch die Einkaufsabteilung abgewickelt.</w:t>
            </w:r>
          </w:p>
          <w:p w14:paraId="4F24057B" w14:textId="77777777" w:rsidR="00A5629E" w:rsidRDefault="00147B6A">
            <w:r>
              <w:t xml:space="preserve">Bestellungen für Kostenstellen werden direkt von diesen selbst im System vorgenommen. </w:t>
            </w:r>
          </w:p>
          <w:p w14:paraId="33F31541" w14:textId="77777777" w:rsidR="00A5629E" w:rsidRDefault="00147B6A">
            <w:r>
              <w:t>In beiden Fällen sind Bestellwertgrenzen im System hinterlegt, die an bestimmte Berechtigungen (Rollen</w:t>
            </w:r>
            <w:r>
              <w:t>) geknüpft sind (Funktionstrennung).</w:t>
            </w:r>
          </w:p>
          <w:p w14:paraId="0F8322BA" w14:textId="77777777" w:rsidR="00A5629E" w:rsidRDefault="00147B6A">
            <w:r>
              <w:t>Bestellungen werden systemgestützt durch die Einkaufsabteilung überwacht.</w:t>
            </w:r>
          </w:p>
        </w:tc>
        <w:tc>
          <w:tcPr>
            <w:tcW w:w="0" w:type="auto"/>
            <w:shd w:val="clear" w:color="auto" w:fill="auto"/>
          </w:tcPr>
          <w:p w14:paraId="34D7F151" w14:textId="77777777" w:rsidR="00A5629E" w:rsidRDefault="00147B6A">
            <w:r>
              <w:t>„ERPone“</w:t>
            </w:r>
          </w:p>
        </w:tc>
        <w:tc>
          <w:tcPr>
            <w:tcW w:w="0" w:type="auto"/>
            <w:shd w:val="clear" w:color="auto" w:fill="auto"/>
          </w:tcPr>
          <w:p w14:paraId="5B518FA9" w14:textId="77777777" w:rsidR="00A5629E" w:rsidRDefault="00147B6A">
            <w:r>
              <w:t>Dok.: Bestellfreigabe</w:t>
            </w:r>
          </w:p>
          <w:p w14:paraId="63011B10" w14:textId="77777777" w:rsidR="00A5629E" w:rsidRDefault="00147B6A">
            <w:r>
              <w:t>IT-Dok.: Berechtigungskonzept</w:t>
            </w:r>
          </w:p>
          <w:p w14:paraId="3C781865" w14:textId="77777777" w:rsidR="00A5629E" w:rsidRDefault="00147B6A">
            <w:r>
              <w:t>C3.1/C3.2/C3.Std.-3</w:t>
            </w:r>
          </w:p>
          <w:p w14:paraId="664C9D87" w14:textId="77777777" w:rsidR="00A5629E" w:rsidRDefault="00147B6A">
            <w:r>
              <w:t>C12.1</w:t>
            </w:r>
          </w:p>
        </w:tc>
      </w:tr>
      <w:tr w:rsidR="00A5629E" w14:paraId="7224952B" w14:textId="77777777">
        <w:tblPrEx>
          <w:tblCellMar>
            <w:top w:w="0" w:type="dxa"/>
            <w:bottom w:w="0" w:type="dxa"/>
          </w:tblCellMar>
        </w:tblPrEx>
        <w:tc>
          <w:tcPr>
            <w:tcW w:w="0" w:type="auto"/>
          </w:tcPr>
          <w:p w14:paraId="645DB738" w14:textId="77777777" w:rsidR="00A5629E" w:rsidRDefault="00147B6A">
            <w:r>
              <w:t>F4</w:t>
            </w:r>
          </w:p>
        </w:tc>
        <w:tc>
          <w:tcPr>
            <w:tcW w:w="0" w:type="auto"/>
          </w:tcPr>
          <w:p w14:paraId="7A4AD401" w14:textId="77777777" w:rsidR="00A5629E" w:rsidRDefault="00147B6A">
            <w:r>
              <w:t>Logistik</w:t>
            </w:r>
          </w:p>
        </w:tc>
        <w:tc>
          <w:tcPr>
            <w:tcW w:w="0" w:type="auto"/>
          </w:tcPr>
          <w:p w14:paraId="23B42373" w14:textId="77777777" w:rsidR="00A5629E" w:rsidRDefault="00147B6A">
            <w:r>
              <w:t>Workflow 4 — Logistik und Lagerbewirtschaftung</w:t>
            </w:r>
          </w:p>
        </w:tc>
        <w:tc>
          <w:tcPr>
            <w:tcW w:w="0" w:type="auto"/>
          </w:tcPr>
          <w:p w14:paraId="50C0BAA2" w14:textId="77777777" w:rsidR="00A5629E" w:rsidRDefault="00A5629E"/>
        </w:tc>
        <w:tc>
          <w:tcPr>
            <w:tcW w:w="0" w:type="auto"/>
          </w:tcPr>
          <w:p w14:paraId="0CC4BA1D" w14:textId="77777777" w:rsidR="00A5629E" w:rsidRDefault="00A5629E"/>
        </w:tc>
      </w:tr>
      <w:tr w:rsidR="00A5629E" w14:paraId="3FE61FEF" w14:textId="77777777">
        <w:tblPrEx>
          <w:tblCellMar>
            <w:top w:w="0" w:type="dxa"/>
            <w:bottom w:w="0" w:type="dxa"/>
          </w:tblCellMar>
        </w:tblPrEx>
        <w:tc>
          <w:tcPr>
            <w:tcW w:w="0" w:type="auto"/>
            <w:shd w:val="clear" w:color="auto" w:fill="auto"/>
          </w:tcPr>
          <w:p w14:paraId="007B7A07" w14:textId="77777777" w:rsidR="00A5629E" w:rsidRDefault="00147B6A">
            <w:r>
              <w:t>P4.1</w:t>
            </w:r>
          </w:p>
        </w:tc>
        <w:tc>
          <w:tcPr>
            <w:tcW w:w="0" w:type="auto"/>
            <w:shd w:val="clear" w:color="auto" w:fill="auto"/>
          </w:tcPr>
          <w:p w14:paraId="1C050522" w14:textId="77777777" w:rsidR="00A5629E" w:rsidRDefault="00147B6A">
            <w:r>
              <w:t>Lagerstammdatenpflege</w:t>
            </w:r>
          </w:p>
        </w:tc>
        <w:tc>
          <w:tcPr>
            <w:tcW w:w="0" w:type="auto"/>
            <w:shd w:val="clear" w:color="auto" w:fill="auto"/>
          </w:tcPr>
          <w:p w14:paraId="07A2B1BD" w14:textId="77777777" w:rsidR="00A5629E" w:rsidRDefault="00147B6A">
            <w:r>
              <w:t xml:space="preserve">Die Pflege der Lagerstammdaten (Lagerorte/-fächer, Bewegungskennziffern) obliegt der Abt. Logistik. </w:t>
            </w:r>
          </w:p>
          <w:p w14:paraId="07894A1C" w14:textId="77777777" w:rsidR="00A5629E" w:rsidRDefault="00147B6A">
            <w:r>
              <w:t>Führendes System zum Lagersystem WHM ist „ERPone“.</w:t>
            </w:r>
          </w:p>
        </w:tc>
        <w:tc>
          <w:tcPr>
            <w:tcW w:w="0" w:type="auto"/>
            <w:shd w:val="clear" w:color="auto" w:fill="auto"/>
          </w:tcPr>
          <w:p w14:paraId="38ECD6F9" w14:textId="77777777" w:rsidR="00A5629E" w:rsidRDefault="00147B6A">
            <w:r>
              <w:t>„ERPone“-</w:t>
            </w:r>
          </w:p>
          <w:p w14:paraId="70FFD287" w14:textId="77777777" w:rsidR="00A5629E" w:rsidRDefault="00147B6A">
            <w:r>
              <w:t>WHM</w:t>
            </w:r>
          </w:p>
        </w:tc>
        <w:tc>
          <w:tcPr>
            <w:tcW w:w="0" w:type="auto"/>
            <w:shd w:val="clear" w:color="auto" w:fill="auto"/>
          </w:tcPr>
          <w:p w14:paraId="213C72E4" w14:textId="77777777" w:rsidR="00A5629E" w:rsidRDefault="00147B6A">
            <w:r>
              <w:t>Logistik-Dok.:</w:t>
            </w:r>
            <w:r>
              <w:br/>
            </w:r>
            <w:r>
              <w:t>Lagerstammdaten</w:t>
            </w:r>
          </w:p>
          <w:p w14:paraId="27105365" w14:textId="77777777" w:rsidR="00A5629E" w:rsidRDefault="00147B6A">
            <w:r>
              <w:t>Std-Dok.: WHM</w:t>
            </w:r>
          </w:p>
          <w:p w14:paraId="385C16DE" w14:textId="77777777" w:rsidR="00A5629E" w:rsidRDefault="00147B6A">
            <w:r>
              <w:t>IT-Dok.: WHM-Lagersystem mit Parametern</w:t>
            </w:r>
          </w:p>
        </w:tc>
      </w:tr>
      <w:tr w:rsidR="00A5629E" w14:paraId="618D007D" w14:textId="77777777">
        <w:tblPrEx>
          <w:tblCellMar>
            <w:top w:w="0" w:type="dxa"/>
            <w:bottom w:w="0" w:type="dxa"/>
          </w:tblCellMar>
        </w:tblPrEx>
        <w:tc>
          <w:tcPr>
            <w:tcW w:w="0" w:type="auto"/>
          </w:tcPr>
          <w:p w14:paraId="7A63F321" w14:textId="77777777" w:rsidR="00A5629E" w:rsidRDefault="00147B6A">
            <w:r>
              <w:t>P4.2</w:t>
            </w:r>
          </w:p>
        </w:tc>
        <w:tc>
          <w:tcPr>
            <w:tcW w:w="0" w:type="auto"/>
          </w:tcPr>
          <w:p w14:paraId="67733AFD" w14:textId="77777777" w:rsidR="00A5629E" w:rsidRDefault="00147B6A">
            <w:r>
              <w:t>Wareneingang</w:t>
            </w:r>
          </w:p>
        </w:tc>
        <w:tc>
          <w:tcPr>
            <w:tcW w:w="0" w:type="auto"/>
          </w:tcPr>
          <w:p w14:paraId="4AAADB72" w14:textId="77777777" w:rsidR="00A5629E" w:rsidRDefault="00147B6A">
            <w:r>
              <w:t>Der Wareneingang wird anhand der Lieferscheine erfasst und positionsweise mit den Bestellungen abgeglichen.</w:t>
            </w:r>
          </w:p>
        </w:tc>
        <w:tc>
          <w:tcPr>
            <w:tcW w:w="0" w:type="auto"/>
          </w:tcPr>
          <w:p w14:paraId="17B16E99" w14:textId="77777777" w:rsidR="00A5629E" w:rsidRDefault="00147B6A">
            <w:r>
              <w:t>„ERPone“</w:t>
            </w:r>
          </w:p>
        </w:tc>
        <w:tc>
          <w:tcPr>
            <w:tcW w:w="0" w:type="auto"/>
          </w:tcPr>
          <w:p w14:paraId="0CEC9051" w14:textId="77777777" w:rsidR="00A5629E" w:rsidRDefault="00147B6A">
            <w:r>
              <w:t>Std.-Dok.: „ERPone“ Modul Logistik</w:t>
            </w:r>
          </w:p>
          <w:p w14:paraId="6A6937C2" w14:textId="77777777" w:rsidR="00A5629E" w:rsidRDefault="00147B6A">
            <w:r>
              <w:t>C2.1/C2.2</w:t>
            </w:r>
          </w:p>
        </w:tc>
      </w:tr>
    </w:tbl>
    <w:p w14:paraId="7958B4A4" w14:textId="77777777" w:rsidR="00A5629E" w:rsidRDefault="00147B6A">
      <w:r>
        <w:rPr>
          <w:color w:val="3E3D40"/>
        </w:rPr>
        <w:t>Abbildung 7</w:t>
      </w:r>
    </w:p>
    <w:p w14:paraId="5B16F3BC" w14:textId="77777777" w:rsidR="00A5629E" w:rsidRDefault="00147B6A">
      <w:r>
        <w:rPr>
          <w:color w:val="3E3D40"/>
        </w:rPr>
        <w:t>Neben der ablauforientierten Prozessdokumentation sind regelmäßig weitere Querschnittsthemen zu berücksichtigen. Insbesondere sei hier auf die digitale Belegarchivierung verwiesen, zu der eine sehr umfangreiche Mustervorlage auf den Webseiten des DStV (Deu</w:t>
      </w:r>
      <w:r>
        <w:rPr>
          <w:color w:val="3E3D40"/>
        </w:rPr>
        <w:t>tscher Steuerberaterverband e. V.) abrufbar ist. Auf das DWS-Merkblatt Nr. 1703 „Digitalisierung, elektronische Aufbewahrung und Vernichtung der Papierbelege (ersetzendes Scannen) wird hingewiesen. Die Finanzverwaltung hat in den GoBD die Anforderungen für</w:t>
      </w:r>
      <w:r>
        <w:rPr>
          <w:color w:val="3E3D40"/>
        </w:rPr>
        <w:t xml:space="preserve"> das Belegsicherungsverfahren und seine Dokumentation formuliert und deutlich verschärft. Mit dem „ersetzenden Scannen“ gelingt es, diese Anforderungen zu erfüllen. Das Merkblatt informiert über die notwendigen Schritte. </w:t>
      </w:r>
    </w:p>
    <w:p w14:paraId="1A914C64" w14:textId="77777777" w:rsidR="00A5629E" w:rsidRDefault="00147B6A">
      <w:r>
        <w:rPr>
          <w:b/>
          <w:bCs/>
          <w:color w:val="892237"/>
        </w:rPr>
        <w:t>4.4 Beschreibung der internen Kont</w:t>
      </w:r>
      <w:r>
        <w:rPr>
          <w:b/>
          <w:bCs/>
          <w:color w:val="892237"/>
        </w:rPr>
        <w:t>rollen (IKS)</w:t>
      </w:r>
    </w:p>
    <w:p w14:paraId="532C4AAE" w14:textId="77777777" w:rsidR="00A5629E" w:rsidRDefault="00147B6A">
      <w:r>
        <w:rPr>
          <w:color w:val="3E3D40"/>
        </w:rPr>
        <w:t>Eine Kontrolldokumentation hat immer einen Bezug zu den Risiken herzustellen. Im einfachsten Fall bestehen die Risiken in falschen Ansätzen oder Bewertungen von Vermögensgegenständen und Schulden. Die Kontrollen dienen jeweils dazu, die erkannten Risiken z</w:t>
      </w:r>
      <w:r>
        <w:rPr>
          <w:color w:val="3E3D40"/>
        </w:rPr>
        <w:t xml:space="preserve">u mindern oder zu vermeiden. </w:t>
      </w:r>
    </w:p>
    <w:p w14:paraId="6539D172" w14:textId="77777777" w:rsidR="00A5629E" w:rsidRDefault="00147B6A">
      <w:r>
        <w:rPr>
          <w:color w:val="3E3D40"/>
        </w:rPr>
        <w:t>Die sichersten Kontrollen sind im System selbst integriert und wirken präventiv (z. B. Programmberechtigungen oder Freigabeschwellen). Am wenigsten wirksam sind nachgelagerte (detektivische) manuelle Kontrollen (z. B. Durchsic</w:t>
      </w:r>
      <w:r>
        <w:rPr>
          <w:color w:val="3E3D40"/>
        </w:rPr>
        <w:t xml:space="preserve">ht von Auszahlungsanweisungen). Zwischen diesen Extrema liegen die systemgestützten Kontrollen, die auf einem Systemereignis beruhen, bei denen aber die Kontrollhandlung manuell durchgeführt werden muss. </w:t>
      </w:r>
    </w:p>
    <w:p w14:paraId="7624F341" w14:textId="77777777" w:rsidR="00A5629E" w:rsidRDefault="00147B6A">
      <w:r>
        <w:rPr>
          <w:color w:val="3E3D40"/>
        </w:rPr>
        <w:t>Eine beispielhafte Auflistung der zu berücksichtige</w:t>
      </w:r>
      <w:r>
        <w:rPr>
          <w:color w:val="3E3D40"/>
        </w:rPr>
        <w:t>nden Risiken kann folgendermaßen aussehen (Abb. 9):</w:t>
      </w:r>
    </w:p>
    <w:tbl>
      <w:tblPr>
        <w:tblW w:w="0" w:type="auto"/>
        <w:tblInd w:w="10" w:type="dxa"/>
        <w:tblCellMar>
          <w:left w:w="10" w:type="dxa"/>
          <w:right w:w="10" w:type="dxa"/>
        </w:tblCellMar>
        <w:tblLook w:val="0000" w:firstRow="0" w:lastRow="0" w:firstColumn="0" w:lastColumn="0" w:noHBand="0" w:noVBand="0"/>
      </w:tblPr>
      <w:tblGrid>
        <w:gridCol w:w="565"/>
        <w:gridCol w:w="6148"/>
        <w:gridCol w:w="2322"/>
      </w:tblGrid>
      <w:tr w:rsidR="00A5629E" w14:paraId="0AD30DF1" w14:textId="77777777">
        <w:tblPrEx>
          <w:tblCellMar>
            <w:top w:w="0" w:type="dxa"/>
            <w:bottom w:w="0" w:type="dxa"/>
          </w:tblCellMar>
        </w:tblPrEx>
        <w:tc>
          <w:tcPr>
            <w:tcW w:w="0" w:type="auto"/>
          </w:tcPr>
          <w:p w14:paraId="0294F396" w14:textId="77777777" w:rsidR="00A5629E" w:rsidRDefault="00147B6A">
            <w:r>
              <w:t>Risiko</w:t>
            </w:r>
          </w:p>
        </w:tc>
        <w:tc>
          <w:tcPr>
            <w:tcW w:w="0" w:type="auto"/>
          </w:tcPr>
          <w:p w14:paraId="2751756B" w14:textId="77777777" w:rsidR="00A5629E" w:rsidRDefault="00147B6A">
            <w:r>
              <w:t>Bezeichnung/Beschreibung</w:t>
            </w:r>
          </w:p>
        </w:tc>
        <w:tc>
          <w:tcPr>
            <w:tcW w:w="0" w:type="auto"/>
          </w:tcPr>
          <w:p w14:paraId="7B125EFD" w14:textId="77777777" w:rsidR="00A5629E" w:rsidRDefault="00147B6A">
            <w:r>
              <w:t>Risikoart</w:t>
            </w:r>
          </w:p>
        </w:tc>
      </w:tr>
      <w:tr w:rsidR="00A5629E" w14:paraId="72A05C13" w14:textId="77777777">
        <w:tblPrEx>
          <w:tblCellMar>
            <w:top w:w="0" w:type="dxa"/>
            <w:bottom w:w="0" w:type="dxa"/>
          </w:tblCellMar>
        </w:tblPrEx>
        <w:tc>
          <w:tcPr>
            <w:tcW w:w="0" w:type="auto"/>
            <w:shd w:val="clear" w:color="auto" w:fill="auto"/>
          </w:tcPr>
          <w:p w14:paraId="5DCA9E1B" w14:textId="77777777" w:rsidR="00A5629E" w:rsidRDefault="00147B6A">
            <w:r>
              <w:t>R1</w:t>
            </w:r>
          </w:p>
        </w:tc>
        <w:tc>
          <w:tcPr>
            <w:tcW w:w="0" w:type="auto"/>
            <w:shd w:val="clear" w:color="auto" w:fill="auto"/>
          </w:tcPr>
          <w:p w14:paraId="41205D8E" w14:textId="77777777" w:rsidR="00A5629E" w:rsidRDefault="00147B6A">
            <w:r>
              <w:t>Bestand Vorräte (Mengen)</w:t>
            </w:r>
          </w:p>
        </w:tc>
        <w:tc>
          <w:tcPr>
            <w:tcW w:w="0" w:type="auto"/>
            <w:shd w:val="clear" w:color="auto" w:fill="auto"/>
          </w:tcPr>
          <w:p w14:paraId="11B1F212" w14:textId="77777777" w:rsidR="00A5629E" w:rsidRDefault="00147B6A">
            <w:r>
              <w:t>Existenz/Vollständigkeit</w:t>
            </w:r>
          </w:p>
        </w:tc>
      </w:tr>
      <w:tr w:rsidR="00A5629E" w14:paraId="31551A43" w14:textId="77777777">
        <w:tblPrEx>
          <w:tblCellMar>
            <w:top w:w="0" w:type="dxa"/>
            <w:bottom w:w="0" w:type="dxa"/>
          </w:tblCellMar>
        </w:tblPrEx>
        <w:tc>
          <w:tcPr>
            <w:tcW w:w="0" w:type="auto"/>
          </w:tcPr>
          <w:p w14:paraId="0CF9464F" w14:textId="77777777" w:rsidR="00A5629E" w:rsidRDefault="00147B6A">
            <w:r>
              <w:t>R3</w:t>
            </w:r>
          </w:p>
        </w:tc>
        <w:tc>
          <w:tcPr>
            <w:tcW w:w="0" w:type="auto"/>
          </w:tcPr>
          <w:p w14:paraId="520AEC7C" w14:textId="77777777" w:rsidR="00A5629E" w:rsidRDefault="00147B6A">
            <w:r>
              <w:t>Annahme nicht bestellter Ware/unzureichende Qualitätsprüfung</w:t>
            </w:r>
          </w:p>
        </w:tc>
        <w:tc>
          <w:tcPr>
            <w:tcW w:w="0" w:type="auto"/>
          </w:tcPr>
          <w:p w14:paraId="081F3C33" w14:textId="77777777" w:rsidR="00A5629E" w:rsidRDefault="00147B6A">
            <w:r>
              <w:t>Vollständigkeit/Bewertung</w:t>
            </w:r>
          </w:p>
        </w:tc>
      </w:tr>
      <w:tr w:rsidR="00A5629E" w14:paraId="6345BC8B" w14:textId="77777777">
        <w:tblPrEx>
          <w:tblCellMar>
            <w:top w:w="0" w:type="dxa"/>
            <w:bottom w:w="0" w:type="dxa"/>
          </w:tblCellMar>
        </w:tblPrEx>
        <w:tc>
          <w:tcPr>
            <w:tcW w:w="0" w:type="auto"/>
            <w:shd w:val="clear" w:color="auto" w:fill="auto"/>
          </w:tcPr>
          <w:p w14:paraId="28DD5CD9" w14:textId="77777777" w:rsidR="00A5629E" w:rsidRDefault="00147B6A">
            <w:r>
              <w:t>R3</w:t>
            </w:r>
          </w:p>
        </w:tc>
        <w:tc>
          <w:tcPr>
            <w:tcW w:w="0" w:type="auto"/>
            <w:shd w:val="clear" w:color="auto" w:fill="auto"/>
          </w:tcPr>
          <w:p w14:paraId="4F3FC8DF" w14:textId="77777777" w:rsidR="00A5629E" w:rsidRDefault="00147B6A">
            <w:r>
              <w:t>Nicht zeitgerechte Erfassung des Wareneingangs</w:t>
            </w:r>
          </w:p>
        </w:tc>
        <w:tc>
          <w:tcPr>
            <w:tcW w:w="0" w:type="auto"/>
            <w:shd w:val="clear" w:color="auto" w:fill="auto"/>
          </w:tcPr>
          <w:p w14:paraId="5D09FD42" w14:textId="77777777" w:rsidR="00A5629E" w:rsidRDefault="00147B6A">
            <w:r>
              <w:t>Periodenabgrenzung</w:t>
            </w:r>
          </w:p>
        </w:tc>
      </w:tr>
      <w:tr w:rsidR="00A5629E" w14:paraId="0F238F57" w14:textId="77777777">
        <w:tblPrEx>
          <w:tblCellMar>
            <w:top w:w="0" w:type="dxa"/>
            <w:bottom w:w="0" w:type="dxa"/>
          </w:tblCellMar>
        </w:tblPrEx>
        <w:tc>
          <w:tcPr>
            <w:tcW w:w="0" w:type="auto"/>
          </w:tcPr>
          <w:p w14:paraId="055F0C19" w14:textId="77777777" w:rsidR="00A5629E" w:rsidRDefault="00147B6A">
            <w:r>
              <w:t>R4a</w:t>
            </w:r>
          </w:p>
        </w:tc>
        <w:tc>
          <w:tcPr>
            <w:tcW w:w="0" w:type="auto"/>
          </w:tcPr>
          <w:p w14:paraId="2A5FC844" w14:textId="77777777" w:rsidR="00A5629E" w:rsidRDefault="00147B6A">
            <w:r>
              <w:t>Versagung Vorsteuerabzug aus elektronisch übermittelten Eingangsrechnungen</w:t>
            </w:r>
          </w:p>
        </w:tc>
        <w:tc>
          <w:tcPr>
            <w:tcW w:w="0" w:type="auto"/>
          </w:tcPr>
          <w:p w14:paraId="3792A07C" w14:textId="77777777" w:rsidR="00A5629E" w:rsidRDefault="00147B6A">
            <w:r>
              <w:t>Liquidität</w:t>
            </w:r>
          </w:p>
        </w:tc>
      </w:tr>
      <w:tr w:rsidR="00A5629E" w14:paraId="087E573D" w14:textId="77777777">
        <w:tblPrEx>
          <w:tblCellMar>
            <w:top w:w="0" w:type="dxa"/>
            <w:bottom w:w="0" w:type="dxa"/>
          </w:tblCellMar>
        </w:tblPrEx>
        <w:tc>
          <w:tcPr>
            <w:tcW w:w="0" w:type="auto"/>
            <w:shd w:val="clear" w:color="auto" w:fill="auto"/>
          </w:tcPr>
          <w:p w14:paraId="623EAB5C" w14:textId="77777777" w:rsidR="00A5629E" w:rsidRDefault="00147B6A">
            <w:r>
              <w:t>R4b</w:t>
            </w:r>
          </w:p>
        </w:tc>
        <w:tc>
          <w:tcPr>
            <w:tcW w:w="0" w:type="auto"/>
            <w:shd w:val="clear" w:color="auto" w:fill="auto"/>
          </w:tcPr>
          <w:p w14:paraId="1940CF73" w14:textId="77777777" w:rsidR="00A5629E" w:rsidRDefault="00147B6A">
            <w:r>
              <w:t>Akzeptanz nicht gerechtfertigter Rechnungen (doppelt/fiktiv)</w:t>
            </w:r>
          </w:p>
        </w:tc>
        <w:tc>
          <w:tcPr>
            <w:tcW w:w="0" w:type="auto"/>
            <w:shd w:val="clear" w:color="auto" w:fill="auto"/>
          </w:tcPr>
          <w:p w14:paraId="66633F40" w14:textId="77777777" w:rsidR="00A5629E" w:rsidRDefault="00147B6A">
            <w:r>
              <w:t>Existenz/Vollständigkeit</w:t>
            </w:r>
          </w:p>
        </w:tc>
      </w:tr>
    </w:tbl>
    <w:p w14:paraId="71E58298" w14:textId="77777777" w:rsidR="00A5629E" w:rsidRDefault="00147B6A">
      <w:r>
        <w:rPr>
          <w:color w:val="3E3D40"/>
        </w:rPr>
        <w:t>Abbildu</w:t>
      </w:r>
      <w:r>
        <w:rPr>
          <w:color w:val="3E3D40"/>
        </w:rPr>
        <w:t>ng 9</w:t>
      </w:r>
    </w:p>
    <w:p w14:paraId="0CCFED58" w14:textId="77777777" w:rsidR="00A5629E" w:rsidRDefault="00147B6A">
      <w:r>
        <w:rPr>
          <w:color w:val="3E3D40"/>
        </w:rPr>
        <w:t xml:space="preserve">Eine </w:t>
      </w:r>
      <w:r>
        <w:rPr>
          <w:b/>
          <w:bCs/>
          <w:color w:val="3E3D40"/>
        </w:rPr>
        <w:t xml:space="preserve">Kontrolldokumentation </w:t>
      </w:r>
      <w:r>
        <w:rPr>
          <w:color w:val="3E3D40"/>
        </w:rPr>
        <w:t>(Abb. 10) zu den vorstehenden Prozessen und Risiken sollte wie folgt aufgebaut sein:</w:t>
      </w:r>
    </w:p>
    <w:tbl>
      <w:tblPr>
        <w:tblW w:w="0" w:type="auto"/>
        <w:tblInd w:w="10" w:type="dxa"/>
        <w:tblCellMar>
          <w:left w:w="10" w:type="dxa"/>
          <w:right w:w="10" w:type="dxa"/>
        </w:tblCellMar>
        <w:tblLook w:val="0000" w:firstRow="0" w:lastRow="0" w:firstColumn="0" w:lastColumn="0" w:noHBand="0" w:noVBand="0"/>
      </w:tblPr>
      <w:tblGrid>
        <w:gridCol w:w="387"/>
        <w:gridCol w:w="3146"/>
        <w:gridCol w:w="1432"/>
        <w:gridCol w:w="3657"/>
        <w:gridCol w:w="413"/>
      </w:tblGrid>
      <w:tr w:rsidR="00A5629E" w14:paraId="2914054E" w14:textId="77777777">
        <w:tblPrEx>
          <w:tblCellMar>
            <w:top w:w="0" w:type="dxa"/>
            <w:bottom w:w="0" w:type="dxa"/>
          </w:tblCellMar>
        </w:tblPrEx>
        <w:trPr>
          <w:tblHeader/>
        </w:trPr>
        <w:tc>
          <w:tcPr>
            <w:tcW w:w="0" w:type="auto"/>
          </w:tcPr>
          <w:p w14:paraId="1FD100A5" w14:textId="77777777" w:rsidR="00A5629E" w:rsidRDefault="00147B6A">
            <w:r>
              <w:t>Nr.</w:t>
            </w:r>
          </w:p>
        </w:tc>
        <w:tc>
          <w:tcPr>
            <w:tcW w:w="0" w:type="auto"/>
          </w:tcPr>
          <w:p w14:paraId="30126BD8" w14:textId="77777777" w:rsidR="00A5629E" w:rsidRDefault="00147B6A">
            <w:r>
              <w:t>Kontrolle</w:t>
            </w:r>
          </w:p>
        </w:tc>
        <w:tc>
          <w:tcPr>
            <w:tcW w:w="0" w:type="auto"/>
          </w:tcPr>
          <w:p w14:paraId="4DC01642" w14:textId="77777777" w:rsidR="00A5629E" w:rsidRDefault="00147B6A">
            <w:r>
              <w:t>Art</w:t>
            </w:r>
          </w:p>
        </w:tc>
        <w:tc>
          <w:tcPr>
            <w:tcW w:w="0" w:type="auto"/>
          </w:tcPr>
          <w:p w14:paraId="5D22C52E" w14:textId="77777777" w:rsidR="00A5629E" w:rsidRDefault="00147B6A">
            <w:r>
              <w:t>Risiko</w:t>
            </w:r>
          </w:p>
        </w:tc>
        <w:tc>
          <w:tcPr>
            <w:tcW w:w="0" w:type="auto"/>
          </w:tcPr>
          <w:p w14:paraId="19F3626F" w14:textId="77777777" w:rsidR="00A5629E" w:rsidRDefault="00147B6A">
            <w:r>
              <w:t>R-Nr.</w:t>
            </w:r>
          </w:p>
        </w:tc>
      </w:tr>
      <w:tr w:rsidR="00A5629E" w14:paraId="3AE22016" w14:textId="77777777">
        <w:tblPrEx>
          <w:tblCellMar>
            <w:top w:w="0" w:type="dxa"/>
            <w:bottom w:w="0" w:type="dxa"/>
          </w:tblCellMar>
        </w:tblPrEx>
        <w:tc>
          <w:tcPr>
            <w:tcW w:w="0" w:type="auto"/>
          </w:tcPr>
          <w:p w14:paraId="001C5808" w14:textId="77777777" w:rsidR="00A5629E" w:rsidRDefault="00147B6A">
            <w:r>
              <w:t>C1a</w:t>
            </w:r>
          </w:p>
        </w:tc>
        <w:tc>
          <w:tcPr>
            <w:tcW w:w="0" w:type="auto"/>
          </w:tcPr>
          <w:p w14:paraId="5A69E473" w14:textId="77777777" w:rsidR="00A5629E" w:rsidRDefault="00147B6A">
            <w:r>
              <w:t>Funktionstrennung Stücklistenpflege</w:t>
            </w:r>
          </w:p>
        </w:tc>
        <w:tc>
          <w:tcPr>
            <w:tcW w:w="0" w:type="auto"/>
          </w:tcPr>
          <w:p w14:paraId="2B6DFCCD" w14:textId="77777777" w:rsidR="00A5629E" w:rsidRDefault="00147B6A">
            <w:r>
              <w:t xml:space="preserve">systemintegriert </w:t>
            </w:r>
          </w:p>
          <w:p w14:paraId="3588115A" w14:textId="77777777" w:rsidR="00A5629E" w:rsidRDefault="00147B6A">
            <w:r>
              <w:t>präventiv</w:t>
            </w:r>
          </w:p>
        </w:tc>
        <w:tc>
          <w:tcPr>
            <w:tcW w:w="0" w:type="auto"/>
          </w:tcPr>
          <w:p w14:paraId="400E6B1C" w14:textId="77777777" w:rsidR="00A5629E" w:rsidRDefault="00147B6A">
            <w:r>
              <w:t>Überbestand durch Fehlplanung/Gefahr von Fehlproduktion</w:t>
            </w:r>
          </w:p>
        </w:tc>
        <w:tc>
          <w:tcPr>
            <w:tcW w:w="0" w:type="auto"/>
          </w:tcPr>
          <w:p w14:paraId="042FDA9B" w14:textId="77777777" w:rsidR="00A5629E" w:rsidRDefault="00147B6A">
            <w:r>
              <w:t>R1</w:t>
            </w:r>
          </w:p>
        </w:tc>
      </w:tr>
      <w:tr w:rsidR="00A5629E" w14:paraId="38104354" w14:textId="77777777">
        <w:tblPrEx>
          <w:tblCellMar>
            <w:top w:w="0" w:type="dxa"/>
            <w:bottom w:w="0" w:type="dxa"/>
          </w:tblCellMar>
        </w:tblPrEx>
        <w:tc>
          <w:tcPr>
            <w:tcW w:w="0" w:type="auto"/>
            <w:shd w:val="clear" w:color="auto" w:fill="auto"/>
          </w:tcPr>
          <w:p w14:paraId="0FF5B32D" w14:textId="77777777" w:rsidR="00A5629E" w:rsidRDefault="00147B6A">
            <w:r>
              <w:t>C1b</w:t>
            </w:r>
          </w:p>
        </w:tc>
        <w:tc>
          <w:tcPr>
            <w:tcW w:w="0" w:type="auto"/>
            <w:shd w:val="clear" w:color="auto" w:fill="auto"/>
          </w:tcPr>
          <w:p w14:paraId="5FE78E40" w14:textId="77777777" w:rsidR="00A5629E" w:rsidRDefault="00147B6A">
            <w:r>
              <w:t>Bestandsprüfung vor Bestellung</w:t>
            </w:r>
          </w:p>
        </w:tc>
        <w:tc>
          <w:tcPr>
            <w:tcW w:w="0" w:type="auto"/>
            <w:shd w:val="clear" w:color="auto" w:fill="auto"/>
          </w:tcPr>
          <w:p w14:paraId="51492356" w14:textId="77777777" w:rsidR="00A5629E" w:rsidRDefault="00147B6A">
            <w:r>
              <w:t xml:space="preserve">systemgestützt </w:t>
            </w:r>
          </w:p>
          <w:p w14:paraId="7DDD7E45" w14:textId="77777777" w:rsidR="00A5629E" w:rsidRDefault="00147B6A">
            <w:r>
              <w:t>präventiv</w:t>
            </w:r>
          </w:p>
        </w:tc>
        <w:tc>
          <w:tcPr>
            <w:tcW w:w="0" w:type="auto"/>
            <w:shd w:val="clear" w:color="auto" w:fill="auto"/>
          </w:tcPr>
          <w:p w14:paraId="354209B7" w14:textId="77777777" w:rsidR="00A5629E" w:rsidRDefault="00147B6A">
            <w:r>
              <w:t xml:space="preserve">Überbestand durch Fehlbestellung </w:t>
            </w:r>
          </w:p>
        </w:tc>
        <w:tc>
          <w:tcPr>
            <w:tcW w:w="0" w:type="auto"/>
            <w:shd w:val="clear" w:color="auto" w:fill="auto"/>
          </w:tcPr>
          <w:p w14:paraId="417B73A4" w14:textId="77777777" w:rsidR="00A5629E" w:rsidRDefault="00147B6A">
            <w:r>
              <w:t>R1</w:t>
            </w:r>
          </w:p>
        </w:tc>
      </w:tr>
      <w:tr w:rsidR="00A5629E" w14:paraId="2520EAE2" w14:textId="77777777">
        <w:tblPrEx>
          <w:tblCellMar>
            <w:top w:w="0" w:type="dxa"/>
            <w:bottom w:w="0" w:type="dxa"/>
          </w:tblCellMar>
        </w:tblPrEx>
        <w:tc>
          <w:tcPr>
            <w:tcW w:w="0" w:type="auto"/>
          </w:tcPr>
          <w:p w14:paraId="62F3C4CE" w14:textId="77777777" w:rsidR="00A5629E" w:rsidRDefault="00147B6A">
            <w:r>
              <w:t>C2a</w:t>
            </w:r>
          </w:p>
        </w:tc>
        <w:tc>
          <w:tcPr>
            <w:tcW w:w="0" w:type="auto"/>
          </w:tcPr>
          <w:p w14:paraId="3CD20421" w14:textId="77777777" w:rsidR="00A5629E" w:rsidRDefault="00147B6A">
            <w:r>
              <w:t>Lieferantenbeurteilung</w:t>
            </w:r>
          </w:p>
        </w:tc>
        <w:tc>
          <w:tcPr>
            <w:tcW w:w="0" w:type="auto"/>
          </w:tcPr>
          <w:p w14:paraId="5FF5320A" w14:textId="77777777" w:rsidR="00A5629E" w:rsidRDefault="00147B6A">
            <w:r>
              <w:t xml:space="preserve">manuell </w:t>
            </w:r>
          </w:p>
          <w:p w14:paraId="5C8D917B" w14:textId="77777777" w:rsidR="00A5629E" w:rsidRDefault="00147B6A">
            <w:r>
              <w:t>präventiv</w:t>
            </w:r>
          </w:p>
        </w:tc>
        <w:tc>
          <w:tcPr>
            <w:tcW w:w="0" w:type="auto"/>
          </w:tcPr>
          <w:p w14:paraId="3E131272" w14:textId="77777777" w:rsidR="00A5629E" w:rsidRDefault="00147B6A">
            <w:r>
              <w:t xml:space="preserve">Auswirkungen auf die Produktion/Vorratsbestand </w:t>
            </w:r>
          </w:p>
        </w:tc>
        <w:tc>
          <w:tcPr>
            <w:tcW w:w="0" w:type="auto"/>
          </w:tcPr>
          <w:p w14:paraId="7CB7756E" w14:textId="77777777" w:rsidR="00A5629E" w:rsidRDefault="00147B6A">
            <w:r>
              <w:t>R3</w:t>
            </w:r>
          </w:p>
        </w:tc>
      </w:tr>
      <w:tr w:rsidR="00A5629E" w14:paraId="6376D5B5" w14:textId="77777777">
        <w:tblPrEx>
          <w:tblCellMar>
            <w:top w:w="0" w:type="dxa"/>
            <w:bottom w:w="0" w:type="dxa"/>
          </w:tblCellMar>
        </w:tblPrEx>
        <w:tc>
          <w:tcPr>
            <w:tcW w:w="0" w:type="auto"/>
            <w:shd w:val="clear" w:color="auto" w:fill="auto"/>
          </w:tcPr>
          <w:p w14:paraId="7ADFA58F" w14:textId="77777777" w:rsidR="00A5629E" w:rsidRDefault="00147B6A">
            <w:r>
              <w:t>C2c</w:t>
            </w:r>
          </w:p>
        </w:tc>
        <w:tc>
          <w:tcPr>
            <w:tcW w:w="0" w:type="auto"/>
            <w:shd w:val="clear" w:color="auto" w:fill="auto"/>
          </w:tcPr>
          <w:p w14:paraId="70DF4766" w14:textId="77777777" w:rsidR="00A5629E" w:rsidRDefault="00147B6A">
            <w:r>
              <w:t>Funktionstrennung Kreditorenstammdatenpflege</w:t>
            </w:r>
          </w:p>
        </w:tc>
        <w:tc>
          <w:tcPr>
            <w:tcW w:w="0" w:type="auto"/>
            <w:shd w:val="clear" w:color="auto" w:fill="auto"/>
          </w:tcPr>
          <w:p w14:paraId="40C2F5FC" w14:textId="77777777" w:rsidR="00A5629E" w:rsidRDefault="00147B6A">
            <w:r>
              <w:t xml:space="preserve">systemintegriert </w:t>
            </w:r>
          </w:p>
          <w:p w14:paraId="1263ADF9" w14:textId="77777777" w:rsidR="00A5629E" w:rsidRDefault="00147B6A">
            <w:r>
              <w:t>präventiv</w:t>
            </w:r>
          </w:p>
        </w:tc>
        <w:tc>
          <w:tcPr>
            <w:tcW w:w="0" w:type="auto"/>
            <w:shd w:val="clear" w:color="auto" w:fill="auto"/>
          </w:tcPr>
          <w:p w14:paraId="1515F2BD" w14:textId="77777777" w:rsidR="00A5629E" w:rsidRDefault="00147B6A">
            <w:r>
              <w:t xml:space="preserve">richtiger/berechtigter Kreditorenausweis </w:t>
            </w:r>
          </w:p>
        </w:tc>
        <w:tc>
          <w:tcPr>
            <w:tcW w:w="0" w:type="auto"/>
            <w:shd w:val="clear" w:color="auto" w:fill="auto"/>
          </w:tcPr>
          <w:p w14:paraId="060E08DE" w14:textId="77777777" w:rsidR="00A5629E" w:rsidRDefault="00147B6A">
            <w:r>
              <w:t>R3</w:t>
            </w:r>
          </w:p>
        </w:tc>
      </w:tr>
      <w:tr w:rsidR="00A5629E" w14:paraId="20578BB9" w14:textId="77777777">
        <w:tblPrEx>
          <w:tblCellMar>
            <w:top w:w="0" w:type="dxa"/>
            <w:bottom w:w="0" w:type="dxa"/>
          </w:tblCellMar>
        </w:tblPrEx>
        <w:tc>
          <w:tcPr>
            <w:tcW w:w="0" w:type="auto"/>
          </w:tcPr>
          <w:p w14:paraId="60F16F45" w14:textId="77777777" w:rsidR="00A5629E" w:rsidRDefault="00147B6A">
            <w:r>
              <w:t>C3b</w:t>
            </w:r>
          </w:p>
        </w:tc>
        <w:tc>
          <w:tcPr>
            <w:tcW w:w="0" w:type="auto"/>
          </w:tcPr>
          <w:p w14:paraId="2946A733" w14:textId="77777777" w:rsidR="00A5629E" w:rsidRDefault="00147B6A">
            <w:r>
              <w:t>WE-Prüfung anhand Lieferschein und Qualitätsprüfung</w:t>
            </w:r>
          </w:p>
        </w:tc>
        <w:tc>
          <w:tcPr>
            <w:tcW w:w="0" w:type="auto"/>
          </w:tcPr>
          <w:p w14:paraId="1689100B" w14:textId="77777777" w:rsidR="00A5629E" w:rsidRDefault="00147B6A">
            <w:r>
              <w:t xml:space="preserve">systemgestützt </w:t>
            </w:r>
          </w:p>
          <w:p w14:paraId="23393889" w14:textId="77777777" w:rsidR="00A5629E" w:rsidRDefault="00147B6A">
            <w:r>
              <w:t>präventiv</w:t>
            </w:r>
          </w:p>
        </w:tc>
        <w:tc>
          <w:tcPr>
            <w:tcW w:w="0" w:type="auto"/>
          </w:tcPr>
          <w:p w14:paraId="653A9EA2" w14:textId="77777777" w:rsidR="00A5629E" w:rsidRDefault="00147B6A">
            <w:r>
              <w:t xml:space="preserve">Mängel/Übermengen bei Vorräten </w:t>
            </w:r>
          </w:p>
        </w:tc>
        <w:tc>
          <w:tcPr>
            <w:tcW w:w="0" w:type="auto"/>
          </w:tcPr>
          <w:p w14:paraId="14E495E7" w14:textId="77777777" w:rsidR="00A5629E" w:rsidRDefault="00147B6A">
            <w:r>
              <w:t>R3</w:t>
            </w:r>
          </w:p>
        </w:tc>
      </w:tr>
      <w:tr w:rsidR="00A5629E" w14:paraId="779C0AB3" w14:textId="77777777">
        <w:tblPrEx>
          <w:tblCellMar>
            <w:top w:w="0" w:type="dxa"/>
            <w:bottom w:w="0" w:type="dxa"/>
          </w:tblCellMar>
        </w:tblPrEx>
        <w:tc>
          <w:tcPr>
            <w:tcW w:w="0" w:type="auto"/>
            <w:shd w:val="clear" w:color="auto" w:fill="auto"/>
          </w:tcPr>
          <w:p w14:paraId="5997F2A6" w14:textId="77777777" w:rsidR="00A5629E" w:rsidRDefault="00147B6A">
            <w:r>
              <w:t>C3c</w:t>
            </w:r>
          </w:p>
        </w:tc>
        <w:tc>
          <w:tcPr>
            <w:tcW w:w="0" w:type="auto"/>
            <w:shd w:val="clear" w:color="auto" w:fill="auto"/>
          </w:tcPr>
          <w:p w14:paraId="3544BE38" w14:textId="77777777" w:rsidR="00A5629E" w:rsidRDefault="00147B6A">
            <w:r>
              <w:t>Lagerlisten der Lagerverantwortlichen</w:t>
            </w:r>
          </w:p>
        </w:tc>
        <w:tc>
          <w:tcPr>
            <w:tcW w:w="0" w:type="auto"/>
            <w:shd w:val="clear" w:color="auto" w:fill="auto"/>
          </w:tcPr>
          <w:p w14:paraId="2942441C" w14:textId="77777777" w:rsidR="00A5629E" w:rsidRDefault="00147B6A">
            <w:r>
              <w:t xml:space="preserve">systemgestützt </w:t>
            </w:r>
          </w:p>
          <w:p w14:paraId="6E3BB0DF" w14:textId="77777777" w:rsidR="00A5629E" w:rsidRDefault="00147B6A">
            <w:r>
              <w:t>detektivisch</w:t>
            </w:r>
          </w:p>
        </w:tc>
        <w:tc>
          <w:tcPr>
            <w:tcW w:w="0" w:type="auto"/>
            <w:shd w:val="clear" w:color="auto" w:fill="auto"/>
          </w:tcPr>
          <w:p w14:paraId="02FD5EE4" w14:textId="77777777" w:rsidR="00A5629E" w:rsidRDefault="00147B6A">
            <w:r>
              <w:t>kein zwingender Zusammenhang mit Systembeständen (Kontrolle nur bedingt</w:t>
            </w:r>
            <w:r>
              <w:t xml:space="preserve"> wirksam)</w:t>
            </w:r>
          </w:p>
        </w:tc>
        <w:tc>
          <w:tcPr>
            <w:tcW w:w="0" w:type="auto"/>
            <w:shd w:val="clear" w:color="auto" w:fill="auto"/>
          </w:tcPr>
          <w:p w14:paraId="4D2DF851" w14:textId="77777777" w:rsidR="00A5629E" w:rsidRDefault="00147B6A">
            <w:r>
              <w:t>R3</w:t>
            </w:r>
          </w:p>
        </w:tc>
      </w:tr>
      <w:tr w:rsidR="00A5629E" w14:paraId="2326B9A8" w14:textId="77777777">
        <w:tblPrEx>
          <w:tblCellMar>
            <w:top w:w="0" w:type="dxa"/>
            <w:bottom w:w="0" w:type="dxa"/>
          </w:tblCellMar>
        </w:tblPrEx>
        <w:tc>
          <w:tcPr>
            <w:tcW w:w="0" w:type="auto"/>
          </w:tcPr>
          <w:p w14:paraId="38536C9D" w14:textId="77777777" w:rsidR="00A5629E" w:rsidRDefault="00147B6A">
            <w:r>
              <w:t>C4a</w:t>
            </w:r>
          </w:p>
        </w:tc>
        <w:tc>
          <w:tcPr>
            <w:tcW w:w="0" w:type="auto"/>
          </w:tcPr>
          <w:p w14:paraId="737A98FA" w14:textId="77777777" w:rsidR="00A5629E" w:rsidRDefault="00147B6A">
            <w:r>
              <w:t>Rechnungsdurchlaufkontrolle</w:t>
            </w:r>
          </w:p>
        </w:tc>
        <w:tc>
          <w:tcPr>
            <w:tcW w:w="0" w:type="auto"/>
          </w:tcPr>
          <w:p w14:paraId="414B95C6" w14:textId="77777777" w:rsidR="00A5629E" w:rsidRDefault="00147B6A">
            <w:r>
              <w:t xml:space="preserve">systemgestützt </w:t>
            </w:r>
          </w:p>
          <w:p w14:paraId="0BBD9696" w14:textId="77777777" w:rsidR="00A5629E" w:rsidRDefault="00147B6A">
            <w:r>
              <w:t>detektivisch</w:t>
            </w:r>
          </w:p>
        </w:tc>
        <w:tc>
          <w:tcPr>
            <w:tcW w:w="0" w:type="auto"/>
          </w:tcPr>
          <w:p w14:paraId="0346C12D" w14:textId="77777777" w:rsidR="00A5629E" w:rsidRDefault="00147B6A">
            <w:r>
              <w:t>Vollständige Verbuchung aller eingegangenen Rechnungen (bisher nicht sichergestellt)</w:t>
            </w:r>
          </w:p>
        </w:tc>
        <w:tc>
          <w:tcPr>
            <w:tcW w:w="0" w:type="auto"/>
          </w:tcPr>
          <w:p w14:paraId="4C6D962A" w14:textId="77777777" w:rsidR="00A5629E" w:rsidRDefault="00147B6A">
            <w:r>
              <w:t>R4a</w:t>
            </w:r>
          </w:p>
        </w:tc>
      </w:tr>
    </w:tbl>
    <w:p w14:paraId="1FAD17D5" w14:textId="77777777" w:rsidR="00A5629E" w:rsidRDefault="00147B6A">
      <w:r>
        <w:rPr>
          <w:color w:val="3E3D40"/>
        </w:rPr>
        <w:t>Abbildung 10</w:t>
      </w:r>
    </w:p>
    <w:p w14:paraId="4E7809E4" w14:textId="77777777" w:rsidR="00A5629E" w:rsidRDefault="00147B6A">
      <w:r>
        <w:rPr>
          <w:b/>
          <w:bCs/>
          <w:color w:val="892237"/>
        </w:rPr>
        <w:t>4.5 Zuordnung von Kontrollen und Risiken</w:t>
      </w:r>
    </w:p>
    <w:p w14:paraId="6E203C8D" w14:textId="77777777" w:rsidR="00A5629E" w:rsidRDefault="005B7A0B">
      <w:r>
        <w:pict w14:anchorId="7840BA14">
          <v:shape id="_x0000_i1032" type="#_x0000_t75" style="width:450pt;height:228pt;mso-position-horizontal:left;mso-position-horizontal-relative:char;mso-position-vertical:top;mso-position-vertical-relative:line">
            <v:imagedata r:id="rId11" o:title=""/>
          </v:shape>
        </w:pict>
      </w:r>
    </w:p>
    <w:p w14:paraId="65BFED6C" w14:textId="77777777" w:rsidR="00A5629E" w:rsidRDefault="00147B6A">
      <w:r>
        <w:rPr>
          <w:color w:val="3E3D40"/>
        </w:rPr>
        <w:t>Abbildung 8</w:t>
      </w:r>
    </w:p>
    <w:p w14:paraId="0F044059" w14:textId="77777777" w:rsidR="00A5629E" w:rsidRDefault="00147B6A">
      <w:r>
        <w:rPr>
          <w:color w:val="3E3D40"/>
        </w:rPr>
        <w:t>In der Gesamtsicht (Abb. 8) können dann die Kontrollen auch noch den Risiken in der Risikotabelle zugeordnet werden, sodass die verschiedenen Sichten wie der Blick auf bzw. durch einen Würfel erscheinen:</w:t>
      </w:r>
    </w:p>
    <w:p w14:paraId="31255054" w14:textId="77777777" w:rsidR="00A5629E" w:rsidRDefault="00147B6A">
      <w:r>
        <w:rPr>
          <w:color w:val="892337"/>
        </w:rPr>
        <w:t>•</w:t>
      </w:r>
      <w:r>
        <w:rPr>
          <w:color w:val="3E3D40"/>
        </w:rPr>
        <w:t xml:space="preserve">Prozesse -&gt; Risiken/Kontrollen </w:t>
      </w:r>
    </w:p>
    <w:p w14:paraId="7F87709E" w14:textId="77777777" w:rsidR="00A5629E" w:rsidRDefault="00147B6A">
      <w:r>
        <w:rPr>
          <w:color w:val="892337"/>
        </w:rPr>
        <w:t>•</w:t>
      </w:r>
      <w:r>
        <w:rPr>
          <w:color w:val="3E3D40"/>
        </w:rPr>
        <w:t>Risiken -&gt; Kontrol</w:t>
      </w:r>
      <w:r>
        <w:rPr>
          <w:color w:val="3E3D40"/>
        </w:rPr>
        <w:t>len/Prozesse</w:t>
      </w:r>
    </w:p>
    <w:p w14:paraId="09F84FE4" w14:textId="77777777" w:rsidR="00A5629E" w:rsidRDefault="00147B6A">
      <w:r>
        <w:rPr>
          <w:color w:val="892337"/>
        </w:rPr>
        <w:t>•</w:t>
      </w:r>
      <w:r>
        <w:rPr>
          <w:color w:val="3E3D40"/>
        </w:rPr>
        <w:t>Kontrollen -&gt; Prozesse/Risiken</w:t>
      </w:r>
    </w:p>
    <w:p w14:paraId="161DA649" w14:textId="77777777" w:rsidR="00A5629E" w:rsidRDefault="00147B6A">
      <w:r>
        <w:rPr>
          <w:color w:val="3E3D40"/>
        </w:rPr>
        <w:t>Zur Erhaltung der Klarheit wird empfohlen, bei einer IKS-Dokumentation die Nummerierung der Kontrollen und der Risiken mit der Prozessnummerierung zu synchronisieren (z. B. Kontrolle c1.xx zu Prozess P1.xx). Ein</w:t>
      </w:r>
      <w:r>
        <w:rPr>
          <w:color w:val="3E3D40"/>
        </w:rPr>
        <w:t>e solche Vorgabe zur Nummerierung ist vorab mit allen Beteiligten abzustimmen.</w:t>
      </w:r>
    </w:p>
    <w:p w14:paraId="0A810ACD" w14:textId="77777777" w:rsidR="00A5629E" w:rsidRDefault="00147B6A">
      <w:r>
        <w:rPr>
          <w:b/>
          <w:bCs/>
          <w:color w:val="892237"/>
        </w:rPr>
        <w:t>4.6 Einfache alternative Darstellung</w:t>
      </w:r>
    </w:p>
    <w:p w14:paraId="13880A81" w14:textId="77777777" w:rsidR="00A5629E" w:rsidRDefault="00147B6A">
      <w:r>
        <w:rPr>
          <w:color w:val="3E3D40"/>
        </w:rPr>
        <w:t xml:space="preserve">In wenig komplexen Abläufen haben sich auch rein </w:t>
      </w:r>
      <w:r>
        <w:rPr>
          <w:b/>
          <w:bCs/>
          <w:color w:val="3E3D40"/>
        </w:rPr>
        <w:t>ablauforientierte Darstellungen</w:t>
      </w:r>
      <w:r>
        <w:rPr>
          <w:color w:val="3E3D40"/>
        </w:rPr>
        <w:t xml:space="preserve"> bewährt, die vertikal die Prozessabfolge wiedergeben und ggf. durch Anmerkungen, Kontrollangaben und weitere Informationen ergänzt werden können. Die regelmäßig nach Geschäftsbereichen (Prozessverantwortung) getrennten Abläufe können mit einem gängigen Ta</w:t>
      </w:r>
      <w:r>
        <w:rPr>
          <w:color w:val="3E3D40"/>
        </w:rPr>
        <w:t>bellenkalkulationsprogramm abgebildet werden (Abb. 11).</w:t>
      </w:r>
    </w:p>
    <w:p w14:paraId="6507BAE5" w14:textId="77777777" w:rsidR="00A5629E" w:rsidRDefault="005B7A0B">
      <w:r>
        <w:pict w14:anchorId="662F822E">
          <v:shape id="_x0000_i1033" type="#_x0000_t75" style="width:450pt;height:170.25pt;mso-position-horizontal:left;mso-position-horizontal-relative:char;mso-position-vertical:top;mso-position-vertical-relative:line">
            <v:imagedata r:id="rId12" o:title=""/>
          </v:shape>
        </w:pict>
      </w:r>
    </w:p>
    <w:p w14:paraId="7499E0B2" w14:textId="77777777" w:rsidR="00A5629E" w:rsidRDefault="00147B6A">
      <w:r>
        <w:rPr>
          <w:color w:val="3E3D40"/>
        </w:rPr>
        <w:t>Abbildung 11</w:t>
      </w:r>
    </w:p>
    <w:p w14:paraId="4E4DF005" w14:textId="77777777" w:rsidR="00A5629E" w:rsidRDefault="00147B6A">
      <w:r>
        <w:rPr>
          <w:color w:val="3E3D40"/>
        </w:rPr>
        <w:t>Etwas näher betrachtet zeigt dieses Modell die einzelnen Schritte komprimierter als in der ausführlichen Version. Im</w:t>
      </w:r>
      <w:r>
        <w:rPr>
          <w:b/>
          <w:bCs/>
          <w:color w:val="3E3D40"/>
        </w:rPr>
        <w:t xml:space="preserve"> linken Bereich</w:t>
      </w:r>
      <w:r>
        <w:rPr>
          <w:color w:val="3E3D40"/>
        </w:rPr>
        <w:t xml:space="preserve"> werden die Prozesse und die zugehörige Dokumentation </w:t>
      </w:r>
      <w:r>
        <w:rPr>
          <w:color w:val="3E3D40"/>
        </w:rPr>
        <w:t>dokumentiert (Abb. 12) ...</w:t>
      </w:r>
    </w:p>
    <w:p w14:paraId="1EFDC443" w14:textId="77777777" w:rsidR="00A5629E" w:rsidRDefault="005B7A0B">
      <w:r>
        <w:pict w14:anchorId="47A214B9">
          <v:shape id="_x0000_i1034" type="#_x0000_t75" style="width:450pt;height:150.75pt;mso-position-horizontal:left;mso-position-horizontal-relative:char;mso-position-vertical:top;mso-position-vertical-relative:line">
            <v:imagedata r:id="rId13" o:title=""/>
          </v:shape>
        </w:pict>
      </w:r>
    </w:p>
    <w:p w14:paraId="085F0D05" w14:textId="77777777" w:rsidR="00A5629E" w:rsidRDefault="00147B6A">
      <w:r>
        <w:rPr>
          <w:color w:val="3E3D40"/>
        </w:rPr>
        <w:t>Abbildung 12</w:t>
      </w:r>
    </w:p>
    <w:p w14:paraId="418321A7" w14:textId="77777777" w:rsidR="00A5629E" w:rsidRDefault="00147B6A">
      <w:r>
        <w:rPr>
          <w:color w:val="3E3D40"/>
        </w:rPr>
        <w:t xml:space="preserve">… und im </w:t>
      </w:r>
      <w:r>
        <w:rPr>
          <w:b/>
          <w:bCs/>
          <w:color w:val="3E3D40"/>
        </w:rPr>
        <w:t>rechten Bereich</w:t>
      </w:r>
      <w:r>
        <w:rPr>
          <w:color w:val="3E3D40"/>
        </w:rPr>
        <w:t xml:space="preserve"> die zugehörigen Risiken und die unternehmensübergreifenden Kontrollen (ELC = „Entity Level Controls“) sowie die direkten Prozesskontrollen (cx.x) — Abb. 13.</w:t>
      </w:r>
    </w:p>
    <w:p w14:paraId="5EAEDD48" w14:textId="77777777" w:rsidR="00A5629E" w:rsidRDefault="005B7A0B">
      <w:r>
        <w:pict w14:anchorId="3001DA45">
          <v:shape id="_x0000_i1035" type="#_x0000_t75" style="width:450pt;height:99.75pt;mso-position-horizontal:left;mso-position-horizontal-relative:char;mso-position-vertical:top;mso-position-vertical-relative:line">
            <v:imagedata r:id="rId14" o:title=""/>
          </v:shape>
        </w:pict>
      </w:r>
    </w:p>
    <w:p w14:paraId="756BF649" w14:textId="77777777" w:rsidR="00A5629E" w:rsidRDefault="00147B6A">
      <w:r>
        <w:rPr>
          <w:color w:val="3E3D40"/>
        </w:rPr>
        <w:t>Abbildung 13</w:t>
      </w:r>
    </w:p>
    <w:p w14:paraId="49D43446" w14:textId="77777777" w:rsidR="00A5629E" w:rsidRDefault="00147B6A">
      <w:r>
        <w:rPr>
          <w:b/>
          <w:bCs/>
          <w:color w:val="892237"/>
        </w:rPr>
        <w:t xml:space="preserve">4.7 </w:t>
      </w:r>
      <w:r>
        <w:rPr>
          <w:b/>
          <w:bCs/>
          <w:color w:val="892237"/>
        </w:rPr>
        <w:t>Toolgestützte Alternativen</w:t>
      </w:r>
    </w:p>
    <w:p w14:paraId="6CE62EAE" w14:textId="77777777" w:rsidR="00A5629E" w:rsidRDefault="00147B6A">
      <w:r>
        <w:rPr>
          <w:color w:val="3E3D40"/>
        </w:rPr>
        <w:t xml:space="preserve">Eine </w:t>
      </w:r>
      <w:r>
        <w:rPr>
          <w:b/>
          <w:bCs/>
          <w:color w:val="3E3D40"/>
        </w:rPr>
        <w:t xml:space="preserve">Prozessdarstellung mit spezialisierten BPM-Tools </w:t>
      </w:r>
      <w:r>
        <w:rPr>
          <w:color w:val="3E3D40"/>
        </w:rPr>
        <w:t>(Business Process Management) findet sich bei mittelständischen Unternehmen bisher eher selten. Sofern solche Werkzeuge aber auch anderweitig im Unternehmen genutzt werden, ka</w:t>
      </w:r>
      <w:r>
        <w:rPr>
          <w:color w:val="3E3D40"/>
        </w:rPr>
        <w:t>nn die Verwendung für die VFD allerdings durchaus zielführend sein. Im Internet sind mehrere Vergleiche solcher Tools für Auswahlzwecke verfügbar.</w:t>
      </w:r>
    </w:p>
    <w:p w14:paraId="5599AD77" w14:textId="77777777" w:rsidR="00A5629E" w:rsidRDefault="00147B6A">
      <w:r>
        <w:rPr>
          <w:b/>
          <w:bCs/>
          <w:color w:val="892237"/>
        </w:rPr>
        <w:t xml:space="preserve"> 5. Systeme und Systemdokumentation </w:t>
      </w:r>
    </w:p>
    <w:p w14:paraId="03A08992" w14:textId="77777777" w:rsidR="00A5629E" w:rsidRDefault="00147B6A">
      <w:r>
        <w:rPr>
          <w:b/>
          <w:bCs/>
          <w:color w:val="892237"/>
        </w:rPr>
        <w:t>5.1 Umfang Systemdokumentation</w:t>
      </w:r>
    </w:p>
    <w:p w14:paraId="40CA69A0" w14:textId="77777777" w:rsidR="00A5629E" w:rsidRDefault="00147B6A">
      <w:r>
        <w:rPr>
          <w:color w:val="3E3D40"/>
        </w:rPr>
        <w:t>Der Abschnitt zur Systemdokumentation (vg</w:t>
      </w:r>
      <w:r>
        <w:rPr>
          <w:color w:val="3E3D40"/>
        </w:rPr>
        <w:t>l. Abb. 3) listet alle relevanten IT-Anwendungen auf und enthält Angaben zur Herstellerdokumentation, Installations- und ggf. Betriebsdokumentation sowie die wichtigen Zugangsdaten (Rz. 80 der GoBD). Zu beachten ist dabei insbesondere auch das Changemanage</w:t>
      </w:r>
      <w:r>
        <w:rPr>
          <w:color w:val="3E3D40"/>
        </w:rPr>
        <w:t>mentverfahren, das sicherstellen soll, dass Änderungen an den Systemen nur geplant und nachweislich vorgenommen werden. Der Zustand der einzelnen rechnungslegungsrelevanten Systeme muss auch im Rahmen einer nachgelagerten Prüfung zu jedem Zeitpunkt der Ver</w:t>
      </w:r>
      <w:r>
        <w:rPr>
          <w:color w:val="3E3D40"/>
        </w:rPr>
        <w:t>wendung zuverlässig und eindeutig ermittelt werden können! Bei selbst entwickelten Anwendungen ist daher sogar die Entwicklungsdokumentation als „sonst erforderliche Aufzeichnungen“ vorzuhalten (Rz. 23 der GoBD).</w:t>
      </w:r>
    </w:p>
    <w:p w14:paraId="3042F2D2" w14:textId="77777777" w:rsidR="00A5629E" w:rsidRDefault="00147B6A">
      <w:r>
        <w:rPr>
          <w:color w:val="3E3D40"/>
        </w:rPr>
        <w:t>Bei mittelgroßen Unternehmen ist die System</w:t>
      </w:r>
      <w:r>
        <w:rPr>
          <w:color w:val="3E3D40"/>
        </w:rPr>
        <w:t xml:space="preserve">dokumentation regelmäßig bereits in den verantwortlichen Abteilungen vorhanden, sodass die Verfahrensdokumentation als Zusammenfassung hauptsächlich der Übersicht und der Vollständigkeitskontrolle dient. Es empfiehlt sich, fehlende Informationen auffällig </w:t>
      </w:r>
      <w:r>
        <w:rPr>
          <w:color w:val="3E3D40"/>
        </w:rPr>
        <w:t>zu kennzeichnen und umgehend zu ergänzen.</w:t>
      </w:r>
    </w:p>
    <w:p w14:paraId="136A3803" w14:textId="77777777" w:rsidR="00A5629E" w:rsidRDefault="00147B6A">
      <w:r>
        <w:rPr>
          <w:b/>
          <w:bCs/>
          <w:color w:val="892237"/>
        </w:rPr>
        <w:t>5.2 Stammdatenprotokollierung</w:t>
      </w:r>
    </w:p>
    <w:p w14:paraId="6CF376C5" w14:textId="77777777" w:rsidR="00A5629E" w:rsidRDefault="00147B6A">
      <w:r>
        <w:rPr>
          <w:color w:val="3E3D40"/>
        </w:rPr>
        <w:t>In vielen rechnungslegungsrelevanten Systemen ist immer noch keine Protokollierung der GoBD-relevanten Stammdaten enthalten oder zumindest nicht für den Anwender ohne Herstellerunterst</w:t>
      </w:r>
      <w:r>
        <w:rPr>
          <w:color w:val="3E3D40"/>
        </w:rPr>
        <w:t>ützung zugänglich. Betroffen sind einerseits die Systemparameter zur Sicherstellung der Unveränderbarkeit und die Aufzeichnung von Veränderungen durch Updates. Andererseits betrifft der Mangel häufig die operativen Stammdaten wie Firmenangaben, Sachkontens</w:t>
      </w:r>
      <w:r>
        <w:rPr>
          <w:color w:val="3E3D40"/>
        </w:rPr>
        <w:t>tämme, Umsatzsteuersätze oder gar Debitoren- und Kreditorenstammdaten. Gerade Letztere müssen in solchen Fällen bei Veränderung in einem gesteuerten und kontrollierten Verfahren manuell aufgezeichnet werden, um zu jedem Zeitpunkt der Verwendung den Zustand</w:t>
      </w:r>
      <w:r>
        <w:rPr>
          <w:color w:val="3E3D40"/>
        </w:rPr>
        <w:t xml:space="preserve"> der Stammdaten nachweisen zu können.</w:t>
      </w:r>
    </w:p>
    <w:p w14:paraId="53205FCC" w14:textId="77777777" w:rsidR="00A5629E" w:rsidRDefault="00147B6A">
      <w:r>
        <w:rPr>
          <w:color w:val="3E3D40"/>
        </w:rPr>
        <w:t>Die Neufassung der GoBD im Jahr 2019 bezieht in die Historisierung sogar explizit die AGB mit ein, wenn Rechnungsdoppel nur auf Anforderung aus Systemdaten erzeugt werden.</w:t>
      </w:r>
    </w:p>
    <w:p w14:paraId="1C07F53F" w14:textId="77777777" w:rsidR="00A5629E" w:rsidRDefault="00147B6A">
      <w:r>
        <w:rPr>
          <w:b/>
          <w:bCs/>
          <w:color w:val="892237"/>
        </w:rPr>
        <w:t>5.3 Schnittstellen und Zwischenformate</w:t>
      </w:r>
    </w:p>
    <w:p w14:paraId="78582715" w14:textId="77777777" w:rsidR="00A5629E" w:rsidRDefault="00147B6A">
      <w:r>
        <w:rPr>
          <w:color w:val="3E3D40"/>
        </w:rPr>
        <w:t>Nach Rz</w:t>
      </w:r>
      <w:r>
        <w:rPr>
          <w:color w:val="3E3D40"/>
        </w:rPr>
        <w:t>. 97 bis 99 der GoBD sind bei der Übergabe von Daten zwischen einzelnen Systemen auch die dabei vorgenommenen Transformierungen leicht und eindeutig nachvollziehbar zu halten. Bei „differierenden Ordnungskriterien“ (z. B. Kontenrahmenveränderungen) sind di</w:t>
      </w:r>
      <w:r>
        <w:rPr>
          <w:color w:val="3E3D40"/>
        </w:rPr>
        <w:t xml:space="preserve">e „Mappingtabellen“ unerlässlicher Bestandteil der Verfahrensdokumentation. </w:t>
      </w:r>
    </w:p>
    <w:p w14:paraId="68E04F7B" w14:textId="77777777" w:rsidR="00A5629E" w:rsidRDefault="00147B6A">
      <w:r>
        <w:rPr>
          <w:color w:val="3E3D40"/>
        </w:rPr>
        <w:t>Rz. 108 der GoBD verlangt außerdem, dass alle Informationen, die zumindest als Grundaufzeichnung in den Verarbeitungsprozess gelangt sind, nicht mehr unterdrückt werden können. Di</w:t>
      </w:r>
      <w:r>
        <w:rPr>
          <w:color w:val="3E3D40"/>
        </w:rPr>
        <w:t>es würde bedeuten, dass auch alle Zwischenformate, die im Verarbeitungsverlauf entstehen, grds. aufbewahrt werden müssen. Hierzu enthält Rz. 135 der GoBD allerdings eine Ausnahmeregelung für solche Daten, „die ausschließlich einer temporären Zwischenspeich</w:t>
      </w:r>
      <w:r>
        <w:rPr>
          <w:color w:val="3E3D40"/>
        </w:rPr>
        <w:t>erung von Verarbeitungsergebnissen dienen und deren Inhalte im Laufe des weiteren Verarbeitungsprozesses vollständig Eingang in die Buchführungsdaten finden“. Auf Basis einer ordnungsgemäßen Dokumentation der Schnittstellenoperationen kann daher die Aufbew</w:t>
      </w:r>
      <w:r>
        <w:rPr>
          <w:color w:val="3E3D40"/>
        </w:rPr>
        <w:t>ahrungspflicht für Zwischenformate ggf. entfallen.</w:t>
      </w:r>
    </w:p>
    <w:p w14:paraId="00560F75" w14:textId="77777777" w:rsidR="00A5629E" w:rsidRDefault="00147B6A">
      <w:r>
        <w:rPr>
          <w:b/>
          <w:bCs/>
          <w:color w:val="892237"/>
        </w:rPr>
        <w:t>5.4 Beispiele Systemdokumentation</w:t>
      </w:r>
    </w:p>
    <w:p w14:paraId="009BB2F4" w14:textId="77777777" w:rsidR="00A5629E" w:rsidRDefault="00147B6A">
      <w:r>
        <w:rPr>
          <w:color w:val="3E3D40"/>
        </w:rPr>
        <w:t xml:space="preserve">Nachfolgend werden </w:t>
      </w:r>
      <w:r>
        <w:rPr>
          <w:b/>
          <w:bCs/>
          <w:color w:val="3E3D40"/>
        </w:rPr>
        <w:t>beispielhaft</w:t>
      </w:r>
      <w:r>
        <w:rPr>
          <w:color w:val="3E3D40"/>
        </w:rPr>
        <w:t xml:space="preserve"> einige Auszüge aus einer solchen Dokumentation passend zur vorstehenden Prozessdokumentation dargestellt. </w:t>
      </w:r>
    </w:p>
    <w:tbl>
      <w:tblPr>
        <w:tblW w:w="0" w:type="auto"/>
        <w:tblInd w:w="10" w:type="dxa"/>
        <w:tblCellMar>
          <w:left w:w="10" w:type="dxa"/>
          <w:right w:w="10" w:type="dxa"/>
        </w:tblCellMar>
        <w:tblLook w:val="0000" w:firstRow="0" w:lastRow="0" w:firstColumn="0" w:lastColumn="0" w:noHBand="0" w:noVBand="0"/>
      </w:tblPr>
      <w:tblGrid>
        <w:gridCol w:w="9035"/>
      </w:tblGrid>
      <w:tr w:rsidR="00A5629E" w14:paraId="7C053774" w14:textId="77777777">
        <w:tblPrEx>
          <w:tblCellMar>
            <w:top w:w="0" w:type="dxa"/>
            <w:bottom w:w="0" w:type="dxa"/>
          </w:tblCellMar>
        </w:tblPrEx>
        <w:tc>
          <w:tcPr>
            <w:tcW w:w="0" w:type="auto"/>
          </w:tcPr>
          <w:p w14:paraId="702CFE00" w14:textId="77777777" w:rsidR="00A5629E" w:rsidRDefault="00147B6A">
            <w:r>
              <w:t>5.4.1 IT-Systemverantwortung/Bac</w:t>
            </w:r>
            <w:r>
              <w:t>k-up/Notfallvorsorge</w:t>
            </w:r>
          </w:p>
          <w:p w14:paraId="09193988" w14:textId="77777777" w:rsidR="00A5629E" w:rsidRDefault="00147B6A">
            <w:r>
              <w:rPr>
                <w:color w:val="3E3D40"/>
              </w:rPr>
              <w:t>Die Pflege und Dokumentation aller IT-Basissysteme obliegt der IT-Abteilung (Prozessverantwortung). Dies gilt grds. auch für ausgelagerte Systeme und Cloud-Anwendungen!</w:t>
            </w:r>
          </w:p>
          <w:p w14:paraId="27C0C217" w14:textId="77777777" w:rsidR="00A5629E" w:rsidRDefault="00147B6A">
            <w:r>
              <w:rPr>
                <w:color w:val="3E3D40"/>
              </w:rPr>
              <w:t>Operative IT-Anwendungen werden nach den Vorgaben der jeweiligen F</w:t>
            </w:r>
            <w:r>
              <w:rPr>
                <w:color w:val="3E3D40"/>
              </w:rPr>
              <w:t>achabteilungen als Prozessverantwortliche administriert.</w:t>
            </w:r>
          </w:p>
          <w:p w14:paraId="28E2C23A" w14:textId="77777777" w:rsidR="00A5629E" w:rsidRDefault="00147B6A">
            <w:r>
              <w:rPr>
                <w:color w:val="3E3D40"/>
              </w:rPr>
              <w:t>Die IT-Abteilung ist für die ordnungsgemäße Datensicherung, Notfallvorsorge und Aufrechterhaltung der Betriebsbereitschaft sowie der zugehörigen Dokumentation verantwortlich (Dokumentation bei der IT</w:t>
            </w:r>
            <w:r>
              <w:rPr>
                <w:color w:val="3E3D40"/>
              </w:rPr>
              <w:t xml:space="preserve">-Abteilung). </w:t>
            </w:r>
          </w:p>
          <w:p w14:paraId="1E41E4B1" w14:textId="77777777" w:rsidR="00A5629E" w:rsidRDefault="00147B6A">
            <w:r>
              <w:t>5.4.2 Windows Active Directory/Benutzerverwaltungssystem</w:t>
            </w:r>
          </w:p>
          <w:p w14:paraId="60EF27ED" w14:textId="77777777" w:rsidR="00A5629E" w:rsidRDefault="00147B6A">
            <w:r>
              <w:rPr>
                <w:color w:val="3E3D40"/>
              </w:rPr>
              <w:t xml:space="preserve">Zur zentralen Verwaltung und Absicherung der Zugänge zu unseren Systemen wird das integrierte Benutzerkontenverwaltungssystem der Windows Server eingesetzt. </w:t>
            </w:r>
          </w:p>
          <w:p w14:paraId="51DB8FD4" w14:textId="77777777" w:rsidR="00A5629E" w:rsidRDefault="00147B6A">
            <w:r>
              <w:rPr>
                <w:color w:val="3E3D40"/>
              </w:rPr>
              <w:t>Die Parametrisierung und Pf</w:t>
            </w:r>
            <w:r>
              <w:rPr>
                <w:color w:val="3E3D40"/>
              </w:rPr>
              <w:t>lege des Systems unterliegen dem IT-Changemanagementverfahren, das im Intranet dokumentiert ist. Eine IT-Benutzerrichtlinie ist in Kraft und in das IT-Richtliniensystem eingebettet. Die Pflege erfolgt durch das Qualitätsmanagement.</w:t>
            </w:r>
          </w:p>
          <w:p w14:paraId="6F29A4F5" w14:textId="77777777" w:rsidR="00A5629E" w:rsidRDefault="00147B6A">
            <w:r>
              <w:t xml:space="preserve">5.4.3 „ERPone“ (Version </w:t>
            </w:r>
            <w:r>
              <w:t>7.4)</w:t>
            </w:r>
          </w:p>
          <w:p w14:paraId="2BAA4F41" w14:textId="77777777" w:rsidR="00A5629E" w:rsidRDefault="00147B6A">
            <w:r>
              <w:rPr>
                <w:color w:val="3E3D40"/>
              </w:rPr>
              <w:t>„ERPone“ (Hersteller SW-GmbH) deckt alle wesentlichen Leistungsbereiche des Unternehmens einschließlich der internen und externen Rechnungslegung ab.</w:t>
            </w:r>
          </w:p>
          <w:p w14:paraId="3FAF3B04" w14:textId="77777777" w:rsidR="00A5629E" w:rsidRDefault="00147B6A">
            <w:r>
              <w:rPr>
                <w:color w:val="3E3D40"/>
              </w:rPr>
              <w:t>Die Benutzerberechtigungen werden nach einem gesonderten Berechtigungskonzept (vgl. Intranet) mit aus</w:t>
            </w:r>
            <w:r>
              <w:rPr>
                <w:color w:val="3E3D40"/>
              </w:rPr>
              <w:t xml:space="preserve">reichender Funktionstrennung auf Basis eines Rollensystems vergeben. </w:t>
            </w:r>
          </w:p>
          <w:p w14:paraId="4077F074" w14:textId="77777777" w:rsidR="00A5629E" w:rsidRDefault="00147B6A">
            <w:r>
              <w:rPr>
                <w:color w:val="3E3D40"/>
              </w:rPr>
              <w:t>Das Anwendungshandbuch zum Standardprogramm „ERPone“ liegt in der Anwendung selbst als kontextsensitive Hilfe vor. Zusätzlich ist die Gesamthilfe als pdf-Datei im Intranet abgelegt.</w:t>
            </w:r>
          </w:p>
          <w:p w14:paraId="54507079" w14:textId="77777777" w:rsidR="00A5629E" w:rsidRDefault="00147B6A">
            <w:r>
              <w:rPr>
                <w:color w:val="3E3D40"/>
              </w:rPr>
              <w:t xml:space="preserve">Die </w:t>
            </w:r>
            <w:r>
              <w:rPr>
                <w:color w:val="3E3D40"/>
              </w:rPr>
              <w:t xml:space="preserve">individuelle Systembeschreibung einschließlich der Parametrisierung ist im Intranet abgebildet, für die Pflege sind die Prozessverantwortlichen benannt. Die Pflege erfolgt im Rahmen des IT-Changemanagementverfahrens. </w:t>
            </w:r>
          </w:p>
          <w:p w14:paraId="2CF7C619" w14:textId="77777777" w:rsidR="00A5629E" w:rsidRDefault="00147B6A">
            <w:r>
              <w:rPr>
                <w:color w:val="3E3D40"/>
              </w:rPr>
              <w:t>In „ERPone“ ist ein gesonderter „Z1-Prüfer-Account“ eingerichtet (vgl. Berechtigungskonzept). In „ERPone“ ist auch eine wahlfreie Suche nach Aufträgen oder Kunden möglich.</w:t>
            </w:r>
          </w:p>
          <w:p w14:paraId="38777563" w14:textId="77777777" w:rsidR="00A5629E" w:rsidRDefault="00147B6A">
            <w:r>
              <w:rPr>
                <w:color w:val="3E3D40"/>
              </w:rPr>
              <w:t>Alle Belege der Teilsysteme können mit Kopfzeile und mehreren Auswahlkriterien in ei</w:t>
            </w:r>
            <w:r>
              <w:rPr>
                <w:color w:val="3E3D40"/>
              </w:rPr>
              <w:t>n Tabellenkalkulationsformat exportiert werden (Menüpunkt „Datenexport“). Eine Datenträgerüberlassung „Z3“ nach dem sogenannten Beschreibungsstandard ist mit Auswahl von Zeiträumen nur für das Modul Finanzbuchhaltung realisiert.</w:t>
            </w:r>
          </w:p>
          <w:p w14:paraId="59DF3BAB" w14:textId="77777777" w:rsidR="00A5629E" w:rsidRDefault="00147B6A">
            <w:r>
              <w:t>5.4.4 „Starmanni“ (Hausbank</w:t>
            </w:r>
            <w:r>
              <w:t>)</w:t>
            </w:r>
          </w:p>
          <w:p w14:paraId="6400EDC1" w14:textId="77777777" w:rsidR="00A5629E" w:rsidRDefault="00147B6A">
            <w:r>
              <w:rPr>
                <w:color w:val="3E3D40"/>
              </w:rPr>
              <w:t>Zum Standardprogramm „Starmanni“ (www.hausbank.de/ „Starmanni“) liegt die Anwenderdokumentation als integrierte Programmhilfe vor. Zur Installation werden keine besonderen Parameter benötigt.</w:t>
            </w:r>
          </w:p>
          <w:p w14:paraId="12ADEEC4" w14:textId="77777777" w:rsidR="00A5629E" w:rsidRDefault="00147B6A">
            <w:r>
              <w:rPr>
                <w:color w:val="3E3D40"/>
              </w:rPr>
              <w:t>Ein Z1-Zugriff wird aus Sicherheitsgründen nicht gewährt. Datenexporte sind als „csv-Dateien“ mit Kopfzeile möglich.</w:t>
            </w:r>
          </w:p>
          <w:p w14:paraId="35AD8D07" w14:textId="77777777" w:rsidR="00A5629E" w:rsidRDefault="00147B6A">
            <w:r>
              <w:t>5.4.5 E-Mail</w:t>
            </w:r>
          </w:p>
          <w:p w14:paraId="5E080561" w14:textId="77777777" w:rsidR="00A5629E" w:rsidRDefault="00147B6A">
            <w:r>
              <w:rPr>
                <w:color w:val="3E3D40"/>
              </w:rPr>
              <w:t>Als E-Mail Programm (Server und Clients) wird die Standardsoftware „Mail-Express“ eingesetzt. Der E-Mail-Server wird selbst be</w:t>
            </w:r>
            <w:r>
              <w:rPr>
                <w:color w:val="3E3D40"/>
              </w:rPr>
              <w:t>trieben. Die laufende Aufbewahrung von E-Mails bis zur Löschung (vgl. E-Mail-Konzept im Intranet) erfolgt auf dem Server. Handelsbriefe und andere steuerrelevante E-Mails werden im DMS archiviert (vgl. DMS-Konzept im Intranet).</w:t>
            </w:r>
          </w:p>
          <w:p w14:paraId="74C35126" w14:textId="77777777" w:rsidR="00A5629E" w:rsidRDefault="00147B6A">
            <w:r>
              <w:rPr>
                <w:color w:val="3E3D40"/>
              </w:rPr>
              <w:t>E-Mail-Provider (Dienstleist</w:t>
            </w:r>
            <w:r>
              <w:rPr>
                <w:color w:val="3E3D40"/>
              </w:rPr>
              <w:t xml:space="preserve">ung) ist die MailKomm GmbH. </w:t>
            </w:r>
          </w:p>
          <w:p w14:paraId="040D02C3" w14:textId="77777777" w:rsidR="00A5629E" w:rsidRDefault="00147B6A">
            <w:r>
              <w:rPr>
                <w:color w:val="3E3D40"/>
              </w:rPr>
              <w:t>Ein direkter Z1-Zugriff wird aus Sicherheits- und Datenschutzgründen nicht gewährt, da die private Nutzung des E-Mail-Systems erlaubt ist. Für Prüfungszwecke werden die qualifiziert archivierten Bestände bereitgestellt. Datenex</w:t>
            </w:r>
            <w:r>
              <w:rPr>
                <w:color w:val="3E3D40"/>
              </w:rPr>
              <w:t>porte können nur im E-Mail-Standardformat erfolgen. Eine Volltextsuche ist möglich.</w:t>
            </w:r>
          </w:p>
          <w:p w14:paraId="022FB24F" w14:textId="77777777" w:rsidR="00A5629E" w:rsidRDefault="00147B6A">
            <w:r>
              <w:t>5.4.6 Dokumentenmanagement</w:t>
            </w:r>
          </w:p>
          <w:p w14:paraId="7AD82E67" w14:textId="77777777" w:rsidR="00A5629E" w:rsidRDefault="00147B6A">
            <w:r>
              <w:rPr>
                <w:color w:val="3E3D40"/>
              </w:rPr>
              <w:t>Ein Dokumentenmanagementkonzept ist auf Basis der Empfehlungen des AWV</w:t>
            </w:r>
            <w:r>
              <w:rPr>
                <w:color w:val="892337"/>
                <w:u w:val="single"/>
              </w:rPr>
              <w:t>4</w:t>
            </w:r>
            <w:r>
              <w:rPr>
                <w:color w:val="3E3D40"/>
              </w:rPr>
              <w:t xml:space="preserve"> erstellt und liegt im Intranet vor. </w:t>
            </w:r>
          </w:p>
          <w:p w14:paraId="52791DFB" w14:textId="77777777" w:rsidR="00A5629E" w:rsidRDefault="00147B6A">
            <w:r>
              <w:rPr>
                <w:color w:val="3E3D40"/>
              </w:rPr>
              <w:t>Als Grundregel zur Dokumentenverarbe</w:t>
            </w:r>
            <w:r>
              <w:rPr>
                <w:color w:val="3E3D40"/>
              </w:rPr>
              <w:t xml:space="preserve">itung gilt: Steuerrelevante Dokumente werden systematisch bei Zugang durch die jeweiligen Prozessverantwortlichen qualifiziert und vor Bearbeitung erstmals in das Dokumentenmanagementsystem DoMaSys eingebracht. Die weitere Verarbeitung erfolgt im System. </w:t>
            </w:r>
          </w:p>
          <w:p w14:paraId="0B7FFAA2" w14:textId="77777777" w:rsidR="00A5629E" w:rsidRDefault="00147B6A">
            <w:r>
              <w:rPr>
                <w:color w:val="3E3D40"/>
              </w:rPr>
              <w:t>Herstellerdokumentation, Systemdokumentation und Anwenderdokumentation sind im Intranet in der Rubrik Dokumentenmanagement abgelegt. Die Pflege erfolgt durch das Qualitätsmanagement in Absprache mit den Prozessverantwortlichen.</w:t>
            </w:r>
          </w:p>
          <w:p w14:paraId="47BEC12A" w14:textId="77777777" w:rsidR="00A5629E" w:rsidRDefault="00147B6A">
            <w:r>
              <w:rPr>
                <w:color w:val="3E3D40"/>
              </w:rPr>
              <w:t>Dokumente, die zwingend in P</w:t>
            </w:r>
            <w:r>
              <w:rPr>
                <w:color w:val="3E3D40"/>
              </w:rPr>
              <w:t xml:space="preserve">apierform aufzubewahren sind, werden (zusätzlich) im Archivbereich aufbewahrt. Für die Digitalisierung weiterer Dokumente sind Regelungen im Dokumentenmanagementkonzept vorgegeben. </w:t>
            </w:r>
          </w:p>
        </w:tc>
      </w:tr>
      <w:tr w:rsidR="00A5629E" w14:paraId="17361C9E" w14:textId="77777777">
        <w:tblPrEx>
          <w:tblCellMar>
            <w:top w:w="0" w:type="dxa"/>
            <w:bottom w:w="0" w:type="dxa"/>
          </w:tblCellMar>
        </w:tblPrEx>
        <w:tc>
          <w:tcPr>
            <w:tcW w:w="0" w:type="auto"/>
            <w:shd w:val="clear" w:color="auto" w:fill="auto"/>
          </w:tcPr>
          <w:p w14:paraId="6F2D5D1E" w14:textId="77777777" w:rsidR="00A5629E" w:rsidRDefault="00147B6A">
            <w:r>
              <w:t>5.4.7 Schnittstellendokumentation</w:t>
            </w:r>
          </w:p>
          <w:p w14:paraId="3A5A2B07" w14:textId="77777777" w:rsidR="00A5629E" w:rsidRDefault="00147B6A">
            <w:r>
              <w:rPr>
                <w:color w:val="3E3D40"/>
              </w:rPr>
              <w:t>Die Schnittstellen werden vollumfänglic</w:t>
            </w:r>
            <w:r>
              <w:rPr>
                <w:color w:val="3E3D40"/>
              </w:rPr>
              <w:t xml:space="preserve">h bei der IT-Abteilung dokumentiert. Die Dokumentation wird anlassbezogen in Zusammenarbeit mit den Fachabteilungen aktualisiert. </w:t>
            </w:r>
          </w:p>
          <w:p w14:paraId="3031915F" w14:textId="77777777" w:rsidR="00A5629E" w:rsidRDefault="00147B6A">
            <w:r>
              <w:rPr>
                <w:color w:val="3E3D40"/>
              </w:rPr>
              <w:t xml:space="preserve">Es werden an den Schnittstellen keine Zwischenformate erzeugt, die ggf. aufbewahrungspflichtig wären. </w:t>
            </w:r>
          </w:p>
          <w:p w14:paraId="78A2BD94" w14:textId="77777777" w:rsidR="00A5629E" w:rsidRDefault="00147B6A">
            <w:r>
              <w:t>5.4.8 Prozessauslageru</w:t>
            </w:r>
            <w:r>
              <w:t>ngen</w:t>
            </w:r>
          </w:p>
          <w:p w14:paraId="164FCF54" w14:textId="77777777" w:rsidR="00A5629E" w:rsidRDefault="00147B6A">
            <w:r>
              <w:rPr>
                <w:color w:val="3E3D40"/>
              </w:rPr>
              <w:t>Einzige wesentliche Auslagerung ist die Erstellung von Steuererklärungen, die an die Steuerberatungsgesellschaft „StBerG“ vergeben ist. Die Dokumentation wird bei der Gesellschaft vorgehalten. Eine zeitnahe Bereitstellung für Prüfungszwecke ist vertra</w:t>
            </w:r>
            <w:r>
              <w:rPr>
                <w:color w:val="3E3D40"/>
              </w:rPr>
              <w:t>glich „auf Anforderung“ vereinbart.</w:t>
            </w:r>
          </w:p>
          <w:p w14:paraId="0ED18709" w14:textId="77777777" w:rsidR="00A5629E" w:rsidRDefault="00147B6A">
            <w:r>
              <w:rPr>
                <w:color w:val="3E3D40"/>
              </w:rPr>
              <w:t>Neben den Steuerberatungsleistungen sind derzeit ausschließlich IT-Unterstützungsleistungen ausgelagert. Dies betrifft die Wartung von „ERPone“ sowie die Pflege der Firewall-Systeme.</w:t>
            </w:r>
          </w:p>
        </w:tc>
      </w:tr>
    </w:tbl>
    <w:p w14:paraId="11F4A3A8" w14:textId="77777777" w:rsidR="00A5629E" w:rsidRDefault="00147B6A">
      <w:r>
        <w:rPr>
          <w:b/>
          <w:bCs/>
          <w:color w:val="892237"/>
        </w:rPr>
        <w:t xml:space="preserve"> 6. Ergänzungen </w:t>
      </w:r>
    </w:p>
    <w:p w14:paraId="713717BB" w14:textId="77777777" w:rsidR="00A5629E" w:rsidRDefault="00147B6A">
      <w:r>
        <w:rPr>
          <w:color w:val="3E3D40"/>
        </w:rPr>
        <w:t xml:space="preserve">Sofern die </w:t>
      </w:r>
      <w:r>
        <w:rPr>
          <w:b/>
          <w:bCs/>
          <w:color w:val="3E3D40"/>
        </w:rPr>
        <w:t>Buchhaltung</w:t>
      </w:r>
      <w:r>
        <w:rPr>
          <w:color w:val="3E3D40"/>
        </w:rPr>
        <w:t xml:space="preserve"> nicht selbst geführt wird, sind die vorstehenden Angaben und Prozesse durch die entsprechende Verfahrensdokumentation des Dienstleisters/Steuerberaters zu ergänzen. </w:t>
      </w:r>
    </w:p>
    <w:p w14:paraId="69964782" w14:textId="77777777" w:rsidR="00A5629E" w:rsidRDefault="00147B6A">
      <w:r>
        <w:rPr>
          <w:color w:val="3E3D40"/>
        </w:rPr>
        <w:t xml:space="preserve">Bei </w:t>
      </w:r>
      <w:r>
        <w:rPr>
          <w:b/>
          <w:bCs/>
          <w:color w:val="3E3D40"/>
        </w:rPr>
        <w:t>E-Commerce-Lösungen</w:t>
      </w:r>
      <w:r>
        <w:rPr>
          <w:color w:val="3E3D40"/>
        </w:rPr>
        <w:t xml:space="preserve"> (z. B. Anbindung von Webshops) sind ebenfal</w:t>
      </w:r>
      <w:r>
        <w:rPr>
          <w:color w:val="3E3D40"/>
        </w:rPr>
        <w:t>ls die ausgelagerten Prozesse zu ergänzen und es ist insbesondere auf die Schnittstellen und die dabei eingesetzten Kontrollen zu achten (Vollständigkeit/Richtigkeit der Übertragungen). Neben der vollständigen Programmdokumentation des E-Commerce-Systems s</w:t>
      </w:r>
      <w:r>
        <w:rPr>
          <w:color w:val="3E3D40"/>
        </w:rPr>
        <w:t>ind die Datensatzbeschreibungen der Schnittstellen zur Buchhaltung oder zu weiteren Vorsystemen mit allen Felddefinitionen sowie die Art der Datenübergabe (synchron oder im Batchbetrieb) zu dokumentieren. Dabei ist insbesondere darauf zu achten, dass die u</w:t>
      </w:r>
      <w:r>
        <w:rPr>
          <w:color w:val="3E3D40"/>
        </w:rPr>
        <w:t>msatzsteuerliche Behandlung für Lieferungen und Dienstleistungen eindeutig nachvollziehbar ist. Das DWS-Merkblatt Nr. 1833 „Bedeutung von Vorsystemen für die Finanzbuchhaltung vor dem Hintergrund der GoBD“ ist in Vorbereitung und wird weiterführende praxis</w:t>
      </w:r>
      <w:r>
        <w:rPr>
          <w:color w:val="3E3D40"/>
        </w:rPr>
        <w:t>nahe Hinweise bieten.</w:t>
      </w:r>
    </w:p>
    <w:p w14:paraId="454239B1" w14:textId="77777777" w:rsidR="00A5629E" w:rsidRDefault="00147B6A">
      <w:r>
        <w:rPr>
          <w:color w:val="3E3D40"/>
        </w:rPr>
        <w:t xml:space="preserve">Sofern auch </w:t>
      </w:r>
      <w:r>
        <w:rPr>
          <w:b/>
          <w:bCs/>
          <w:color w:val="3E3D40"/>
        </w:rPr>
        <w:t>Datenschutzbelange</w:t>
      </w:r>
      <w:r>
        <w:rPr>
          <w:color w:val="3E3D40"/>
        </w:rPr>
        <w:t xml:space="preserve"> berücksichtigt werden sollen, kann die Verfahrensdokumentation um die Risiken zu den personenbezogenen Daten und die entsprechenden Kontrollen ergänzt werden.</w:t>
      </w:r>
    </w:p>
    <w:p w14:paraId="18AC119F" w14:textId="77777777" w:rsidR="00A5629E" w:rsidRDefault="00147B6A">
      <w:r>
        <w:rPr>
          <w:color w:val="3E3D40"/>
        </w:rPr>
        <w:t>Um die Verfahrensdokumentation lebendig zu h</w:t>
      </w:r>
      <w:r>
        <w:rPr>
          <w:color w:val="3E3D40"/>
        </w:rPr>
        <w:t xml:space="preserve">alten, sollten </w:t>
      </w:r>
      <w:r>
        <w:rPr>
          <w:b/>
          <w:bCs/>
          <w:color w:val="3E3D40"/>
        </w:rPr>
        <w:t>jährliche Überprüfungen</w:t>
      </w:r>
      <w:r>
        <w:rPr>
          <w:color w:val="3E3D40"/>
        </w:rPr>
        <w:t xml:space="preserve"> der Dokumentation und der darin enthaltenen Bestandteile, insbesondere der Prozesse und der Kontrollen vorgenommen werden. Diese sind wiederum als Vorgabe in der Verfahrensdokumentation darzustellen.</w:t>
      </w:r>
    </w:p>
    <w:p w14:paraId="1C2CBDD5" w14:textId="77777777" w:rsidR="00A5629E" w:rsidRDefault="00147B6A">
      <w:r>
        <w:rPr>
          <w:color w:val="3E3D40"/>
        </w:rPr>
        <w:t>Bei der Erstellun</w:t>
      </w:r>
      <w:r>
        <w:rPr>
          <w:color w:val="3E3D40"/>
        </w:rPr>
        <w:t xml:space="preserve">g und der Überprüfung gewährleistet eine </w:t>
      </w:r>
      <w:r>
        <w:rPr>
          <w:b/>
          <w:bCs/>
          <w:color w:val="3E3D40"/>
        </w:rPr>
        <w:t>VFD-Checkliste</w:t>
      </w:r>
      <w:r>
        <w:rPr>
          <w:color w:val="3E3D40"/>
        </w:rPr>
        <w:t xml:space="preserve"> einen schnellen Zugriff und eine effiziente Bearbeitung. Solche Checklisten sind im Internet verfügbar, sodass es nur einer individuellen Anpassung bedarf. </w:t>
      </w:r>
    </w:p>
    <w:p w14:paraId="7B7B4946" w14:textId="77777777" w:rsidR="00A5629E" w:rsidRDefault="00147B6A">
      <w:r>
        <w:rPr>
          <w:b/>
          <w:bCs/>
          <w:color w:val="892237"/>
        </w:rPr>
        <w:t xml:space="preserve"> 7. Zusammenfassung und Empfehlung </w:t>
      </w:r>
    </w:p>
    <w:p w14:paraId="43B70BC6" w14:textId="77777777" w:rsidR="00A5629E" w:rsidRDefault="00147B6A">
      <w:r>
        <w:rPr>
          <w:color w:val="3E3D40"/>
        </w:rPr>
        <w:t>Die Ers</w:t>
      </w:r>
      <w:r>
        <w:rPr>
          <w:color w:val="3E3D40"/>
        </w:rPr>
        <w:t xml:space="preserve">tellung einer Verfahrensdokumentation für mittelgroße Unternehmen mit oft komplexen IT-Systemlandschaften dient im Wesentlichen der Sicherstellung der Vollständigkeit und der Aktualität der Gesamtdokumentation. Die Informationssammlung soll eine Übersicht </w:t>
      </w:r>
      <w:r>
        <w:rPr>
          <w:color w:val="3E3D40"/>
        </w:rPr>
        <w:t xml:space="preserve">erzeugen und eine zutreffende Versionierung sicherstellen. </w:t>
      </w:r>
    </w:p>
    <w:p w14:paraId="604B82D2" w14:textId="77777777" w:rsidR="00A5629E" w:rsidRDefault="00147B6A">
      <w:r>
        <w:rPr>
          <w:color w:val="3E3D40"/>
        </w:rPr>
        <w:t>Die Pflicht zur Erstellung einer VFD wurde bisher im Prüfungsvorgehen der Finanzverwaltung nur wenig berücksichtigt, da auch mittelgroße Unternehmen nur unterdurchschnittlich oft geprüft werden. M</w:t>
      </w:r>
      <w:r>
        <w:rPr>
          <w:color w:val="3E3D40"/>
        </w:rPr>
        <w:t>it Einführung des risikoorientierten Prüfungsansatzes der Finanzverwaltung (SRP</w:t>
      </w:r>
      <w:r>
        <w:rPr>
          <w:color w:val="892337"/>
          <w:u w:val="single"/>
        </w:rPr>
        <w:t>5</w:t>
      </w:r>
      <w:r>
        <w:rPr>
          <w:color w:val="3E3D40"/>
        </w:rPr>
        <w:t>) wird die Menge der geprüften Unternehmen in Zukunft signifikant steigen. Berücksichtigen Sie aber nicht nur ein ggf. drohendes Verzögerungsgeld im Rahmen einer Betriebsprüfun</w:t>
      </w:r>
      <w:r>
        <w:rPr>
          <w:color w:val="3E3D40"/>
        </w:rPr>
        <w:t>g (§ 146 Abs. 2b AO). Eine fehlende oder unvollständige (nicht ordnungsgemäße) Verfahrensdokumentation als formeller Fehler kann u. U. in Zusammenhang mit materiellen Fehlern Hinzuschätzungen stark begünstigen. Und auch in „Tax-Compliance-Fällen“ (§ 130 OW</w:t>
      </w:r>
      <w:r>
        <w:rPr>
          <w:color w:val="3E3D40"/>
        </w:rPr>
        <w:t>iG) kann eine gepflegte Verfahrensdokumentation hilfreich sein. Nicht zuletzt sollten Sie aber auch die Erkenntnisse aus der Systemdokumentation nutzen, um Ihre eigenen Prozesse und Systeme transparenter zu machen.</w:t>
      </w:r>
    </w:p>
    <w:p w14:paraId="4BE68E9A" w14:textId="77777777" w:rsidR="00A5629E" w:rsidRDefault="00147B6A">
      <w:r>
        <w:rPr>
          <w:color w:val="3E3D40"/>
        </w:rPr>
        <w:t xml:space="preserve">Nutzen Sie jetzt die Zeit und betrachten </w:t>
      </w:r>
      <w:r>
        <w:rPr>
          <w:color w:val="3E3D40"/>
        </w:rPr>
        <w:t>Sie die Verfahrensdokumentation nicht nur als eine Art Risikoversicherung für eine Betriebsprüfung, deren Eintritt Ihnen eher unwahrscheinlich erscheint. Wenn die Prüfungsanordnung eingeht, wird die Zeit erfahrungsgemäß knapp.</w:t>
      </w:r>
    </w:p>
    <w:p w14:paraId="66F97B64" w14:textId="77777777" w:rsidR="00A5629E" w:rsidRDefault="00147B6A">
      <w:pPr>
        <w:jc w:val="right"/>
      </w:pPr>
      <w:r>
        <w:t>Wolf-Dietrich Richter, Steuer</w:t>
      </w:r>
      <w:r>
        <w:t>berater</w:t>
      </w:r>
    </w:p>
    <w:p w14:paraId="0BFF962E" w14:textId="77777777" w:rsidR="00A5629E" w:rsidRDefault="00147B6A">
      <w:r>
        <w:rPr>
          <w:color w:val="892337"/>
          <w:u w:val="single"/>
        </w:rPr>
        <w:t>1</w:t>
      </w:r>
      <w:r>
        <w:rPr>
          <w:color w:val="892337"/>
        </w:rPr>
        <w:tab/>
        <w:t>Aktualisierung der „Grundsätze zur ordnungsmäßigen Führung und Aufbewahrung von Büchern, Aufzeichnungen und Unterlagen in elektronischer Form sowie zum Datenzugriff (GoBD)“ — BMF v. 28.11.2019-IV A 4-S 0316/19/10003:001 BStBl 2019 I S. 1269.</w:t>
      </w:r>
    </w:p>
    <w:p w14:paraId="673116EF" w14:textId="77777777" w:rsidR="00A5629E" w:rsidRDefault="00147B6A">
      <w:r>
        <w:rPr>
          <w:color w:val="892337"/>
          <w:u w:val="single"/>
        </w:rPr>
        <w:t>2</w:t>
      </w:r>
      <w:r>
        <w:rPr>
          <w:color w:val="892337"/>
        </w:rPr>
        <w:tab/>
        <w:t>Mi</w:t>
      </w:r>
      <w:r>
        <w:rPr>
          <w:color w:val="892337"/>
        </w:rPr>
        <w:t xml:space="preserve">ttelgroße Unternehmen sind allgemein gekennzeichnet durch 10 bis 499 Mitarbeiter bei einem Umsatz von 10 bis 50 Mio. €. </w:t>
      </w:r>
    </w:p>
    <w:p w14:paraId="6149BFD0" w14:textId="77777777" w:rsidR="00A5629E" w:rsidRDefault="00147B6A">
      <w:r>
        <w:rPr>
          <w:color w:val="892337"/>
          <w:u w:val="single"/>
        </w:rPr>
        <w:t>3</w:t>
      </w:r>
      <w:r>
        <w:rPr>
          <w:color w:val="892337"/>
        </w:rPr>
        <w:t xml:space="preserve"> § 145 Abs. 1 AO und § 238 HGB.</w:t>
      </w:r>
    </w:p>
    <w:p w14:paraId="65508B77" w14:textId="77777777" w:rsidR="00A5629E" w:rsidRDefault="00147B6A">
      <w:r>
        <w:rPr>
          <w:color w:val="892337"/>
          <w:u w:val="single"/>
        </w:rPr>
        <w:t>4</w:t>
      </w:r>
      <w:r>
        <w:rPr>
          <w:color w:val="892337"/>
        </w:rPr>
        <w:tab/>
        <w:t>http://www.awv-net.de/themen/fachergebnisse/musterverfahrensdoku/index.html</w:t>
      </w:r>
    </w:p>
    <w:p w14:paraId="5E034C90" w14:textId="77777777" w:rsidR="00A5629E" w:rsidRDefault="00147B6A">
      <w:r>
        <w:rPr>
          <w:color w:val="892337"/>
          <w:u w:val="single"/>
        </w:rPr>
        <w:t>5</w:t>
      </w:r>
      <w:r>
        <w:rPr>
          <w:color w:val="892337"/>
        </w:rPr>
        <w:tab/>
        <w:t>„Summarische Risikoprüfung“.</w:t>
      </w:r>
    </w:p>
    <w:p w14:paraId="3F9D2593" w14:textId="77777777" w:rsidR="00A5629E" w:rsidRDefault="00A5629E"/>
    <w:p w14:paraId="0AB75C83" w14:textId="77777777" w:rsidR="00A5629E" w:rsidRDefault="00A5629E"/>
    <w:p w14:paraId="3764B47A" w14:textId="77777777" w:rsidR="00A5629E" w:rsidRDefault="00147B6A">
      <w:r>
        <w:rPr>
          <w:sz w:val="13"/>
          <w:szCs w:val="13"/>
        </w:rPr>
        <w:t>© DWS-Verlag · Verlag des wissenschaftlichen Instituts der Steuerberater GmbH</w:t>
      </w:r>
      <w:r>
        <w:br/>
      </w:r>
      <w:r>
        <w:rPr>
          <w:sz w:val="13"/>
          <w:szCs w:val="13"/>
        </w:rPr>
        <w:t xml:space="preserve">Bestellservice: Postfach 02 35 53 · 10127 Berlin · Tel.: 030. 2 88 85 66 · Fax: 030. 28 88 56 70 · E-Mail: </w:t>
      </w:r>
      <w:r>
        <w:rPr>
          <w:color w:val="892337"/>
          <w:sz w:val="13"/>
          <w:szCs w:val="13"/>
          <w:u w:val="single"/>
        </w:rPr>
        <w:t>info@dws-verlag.de</w:t>
      </w:r>
      <w:r>
        <w:rPr>
          <w:sz w:val="13"/>
          <w:szCs w:val="13"/>
        </w:rPr>
        <w:t xml:space="preserve"> · Internet: </w:t>
      </w:r>
      <w:r>
        <w:rPr>
          <w:color w:val="892337"/>
          <w:sz w:val="13"/>
          <w:szCs w:val="13"/>
          <w:u w:val="single"/>
        </w:rPr>
        <w:t>www.dws-</w:t>
      </w:r>
      <w:r>
        <w:rPr>
          <w:color w:val="892337"/>
          <w:sz w:val="13"/>
          <w:szCs w:val="13"/>
          <w:u w:val="single"/>
        </w:rPr>
        <w:t>verlag.de</w:t>
      </w:r>
      <w:r>
        <w:br/>
      </w:r>
      <w:r>
        <w:rPr>
          <w:sz w:val="13"/>
          <w:szCs w:val="13"/>
        </w:rPr>
        <w:t>Alle Rechte vorbehalten. Es ist nicht gestattet, die Produkte ganz oder teilweise nachzudrucken bzw. auf fotomechanischem Weg zu vervielfältigen.</w:t>
      </w:r>
      <w:r>
        <w:br/>
      </w:r>
      <w:r>
        <w:rPr>
          <w:sz w:val="13"/>
          <w:szCs w:val="13"/>
        </w:rPr>
        <w:t>Dieses Produkt wurde mit äußerster Sorgfalt bearbeitet, für den Inhalt kann jedoch keine Gewähr über</w:t>
      </w:r>
      <w:r>
        <w:rPr>
          <w:sz w:val="13"/>
          <w:szCs w:val="13"/>
        </w:rPr>
        <w:t xml:space="preserve">nommen werden. </w:t>
      </w:r>
    </w:p>
    <w:sectPr w:rsidR="00A5629E">
      <w:pgSz w:w="11905" w:h="16837"/>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A5629E"/>
    <w:rsid w:val="00147B6A"/>
    <w:rsid w:val="005B7A0B"/>
    <w:rsid w:val="00A56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20A99"/>
  <w15:docId w15:val="{9E58BEF6-FCAD-41F7-B9CF-AAD704D0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4247</Words>
  <Characters>26760</Characters>
  <Application>Microsoft Office Word</Application>
  <DocSecurity>0</DocSecurity>
  <Lines>223</Lines>
  <Paragraphs>61</Paragraphs>
  <ScaleCrop>false</ScaleCrop>
  <Manager/>
  <Company/>
  <LinksUpToDate>false</LinksUpToDate>
  <CharactersWithSpaces>30946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2022-04-19T04:53:00Z</dcterms:created>
  <dcterms:modified xsi:type="dcterms:W3CDTF">2022-04-19T04:53:00Z</dcterms:modified>
  <cp:category/>
</cp:coreProperties>
</file>